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0" w:after="120"/>
        <w:jc w:val="center"/>
        <w:rPr/>
      </w:pPr>
      <w:r>
        <w:rPr>
          <w:rFonts w:ascii="Times New Roman;serif" w:hAnsi="Times New Roman;serif"/>
          <w:b/>
          <w:color w:val="000000"/>
          <w:sz w:val="20"/>
        </w:rPr>
        <w:t>For the quarterly period ended</w:t>
      </w:r>
      <w:r>
        <w:rPr>
          <w:color w:val="000000"/>
        </w:rPr>
        <w:t xml:space="preserve"> </w:t>
      </w:r>
      <w:r>
        <w:rPr>
          <w:rFonts w:ascii="Times New Roman;serif" w:hAnsi="Times New Roman;serif"/>
          <w:b/>
          <w:color w:val="000000"/>
          <w:sz w:val="18"/>
        </w:rPr>
        <w:t>June 30, 2026</w:t>
      </w:r>
    </w:p>
    <w:p>
      <w:pPr>
        <w:pStyle w:val="TextBody"/>
        <w:bidi w:val="0"/>
        <w:spacing w:lineRule="auto" w:line="288" w:before="0" w:after="0"/>
        <w:jc w:val="center"/>
        <w:rPr/>
      </w:pPr>
      <w:r>
        <w:rPr>
          <w:rFonts w:ascii="Times New Roman;serif" w:hAnsi="Times New Roman;serif"/>
          <w:b/>
          <w:color w:val="000000"/>
          <w:sz w:val="20"/>
        </w:rPr>
        <w:t>Commission File Number: 001-35039</w:t>
      </w: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BankUnited,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034" w:type="dxa"/>
        <w:jc w:val="center"/>
        <w:tblInd w:w="0" w:type="dxa"/>
        <w:tblLayout w:type="fixed"/>
        <w:tblCellMar>
          <w:top w:w="28" w:type="dxa"/>
          <w:left w:w="28" w:type="dxa"/>
          <w:bottom w:w="28" w:type="dxa"/>
          <w:right w:w="28" w:type="dxa"/>
        </w:tblCellMar>
      </w:tblPr>
      <w:tblGrid>
        <w:gridCol w:w="1124"/>
        <w:gridCol w:w="991"/>
        <w:gridCol w:w="995"/>
        <w:gridCol w:w="403"/>
        <w:gridCol w:w="403"/>
        <w:gridCol w:w="403"/>
        <w:gridCol w:w="791"/>
        <w:gridCol w:w="791"/>
        <w:gridCol w:w="1133"/>
      </w:tblGrid>
      <w:tr>
        <w:trPr/>
        <w:tc>
          <w:tcPr>
            <w:tcW w:w="112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3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27-0162450</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tbl>
      <w:tblPr>
        <w:tblW w:w="4505" w:type="dxa"/>
        <w:jc w:val="left"/>
        <w:tblInd w:w="0" w:type="dxa"/>
        <w:tblLayout w:type="fixed"/>
        <w:tblCellMar>
          <w:top w:w="28" w:type="dxa"/>
          <w:left w:w="28" w:type="dxa"/>
          <w:bottom w:w="28" w:type="dxa"/>
          <w:right w:w="28" w:type="dxa"/>
        </w:tblCellMar>
      </w:tblPr>
      <w:tblGrid>
        <w:gridCol w:w="518"/>
        <w:gridCol w:w="454"/>
        <w:gridCol w:w="459"/>
        <w:gridCol w:w="386"/>
        <w:gridCol w:w="386"/>
        <w:gridCol w:w="388"/>
        <w:gridCol w:w="110"/>
        <w:gridCol w:w="110"/>
        <w:gridCol w:w="111"/>
        <w:gridCol w:w="109"/>
        <w:gridCol w:w="109"/>
        <w:gridCol w:w="109"/>
        <w:gridCol w:w="109"/>
        <w:gridCol w:w="109"/>
        <w:gridCol w:w="109"/>
        <w:gridCol w:w="272"/>
        <w:gridCol w:w="272"/>
        <w:gridCol w:w="385"/>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14817 Oak Lane,</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Miami Lakes,</w:t>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33016</w:t>
            </w:r>
          </w:p>
        </w:tc>
      </w:tr>
      <w:tr>
        <w:trPr/>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120"/>
        <w:ind w:left="0" w:right="0" w:firstLine="360"/>
        <w:jc w:val="center"/>
        <w:rPr>
          <w:color w:val="000000"/>
        </w:rPr>
      </w:pPr>
      <w:r>
        <w:rPr>
          <w:color w:val="000000"/>
        </w:rPr>
        <w:t> </w:t>
      </w:r>
    </w:p>
    <w:p>
      <w:pPr>
        <w:pStyle w:val="TextBody"/>
        <w:bidi w:val="0"/>
        <w:spacing w:lineRule="auto" w:line="288" w:before="0" w:after="120"/>
        <w:ind w:left="0" w:right="0" w:firstLine="36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(305) 569-2000</w:t>
      </w:r>
      <w:r>
        <w:rPr>
          <w:color w:val="000000"/>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32" w:type="dxa"/>
        <w:jc w:val="left"/>
        <w:tblInd w:w="0" w:type="dxa"/>
        <w:tblLayout w:type="fixed"/>
        <w:tblCellMar>
          <w:top w:w="28" w:type="dxa"/>
          <w:left w:w="28" w:type="dxa"/>
          <w:bottom w:w="28" w:type="dxa"/>
          <w:right w:w="28" w:type="dxa"/>
        </w:tblCellMar>
      </w:tblPr>
      <w:tblGrid>
        <w:gridCol w:w="894"/>
        <w:gridCol w:w="786"/>
        <w:gridCol w:w="795"/>
        <w:gridCol w:w="109"/>
        <w:gridCol w:w="109"/>
        <w:gridCol w:w="109"/>
        <w:gridCol w:w="454"/>
        <w:gridCol w:w="454"/>
        <w:gridCol w:w="456"/>
        <w:gridCol w:w="109"/>
        <w:gridCol w:w="109"/>
        <w:gridCol w:w="109"/>
        <w:gridCol w:w="947"/>
        <w:gridCol w:w="947"/>
        <w:gridCol w:w="1345"/>
      </w:tblGrid>
      <w:tr>
        <w:trPr/>
        <w:tc>
          <w:tcPr>
            <w:tcW w:w="89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Exchange on Which Registered</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BKU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before="0" w:after="120"/>
        <w:ind w:left="0" w:right="0" w:firstLine="360"/>
        <w:jc w:val="left"/>
        <w:rPr/>
      </w:pPr>
      <w:r>
        <w:rPr/>
      </w:r>
    </w:p>
    <w:p>
      <w:pPr>
        <w:pStyle w:val="TextBody"/>
        <w:bidi w:val="0"/>
        <w:spacing w:lineRule="auto" w:line="288" w:before="0" w:after="12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w:t>
      </w:r>
    </w:p>
    <w:p>
      <w:pPr>
        <w:pStyle w:val="TextBody"/>
        <w:bidi w:val="0"/>
        <w:spacing w:lineRule="auto" w:line="288" w:before="0" w:after="12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805"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25"/>
        <w:gridCol w:w="125"/>
        <w:gridCol w:w="126"/>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20"/>
        <w:jc w:val="left"/>
        <w:rPr/>
      </w:pPr>
      <w:r>
        <w:rPr>
          <w:rFonts w:ascii="Times New Roman;serif" w:hAnsi="Times New Roman;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number of outstanding shares of the registrant common stock, $0.01 par value, as of August 4, 2026 was 71,232,249.</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6860"/>
                <wp:effectExtent l="0" t="0" r="0" b="0"/>
                <wp:wrapNone/>
                <wp:docPr id="1" name="Frame1"/>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16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160"/>
                        <w:ind w:left="0" w:right="0" w:firstLine="36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65" w:type="dxa"/>
        <w:jc w:val="center"/>
        <w:tblInd w:w="0" w:type="dxa"/>
        <w:tblLayout w:type="fixed"/>
        <w:tblCellMar>
          <w:top w:w="28" w:type="dxa"/>
          <w:left w:w="28" w:type="dxa"/>
          <w:bottom w:w="28" w:type="dxa"/>
          <w:right w:w="28" w:type="dxa"/>
        </w:tblCellMar>
      </w:tblPr>
      <w:tblGrid>
        <w:gridCol w:w="335"/>
        <w:gridCol w:w="296"/>
        <w:gridCol w:w="298"/>
        <w:gridCol w:w="2452"/>
        <w:gridCol w:w="2452"/>
        <w:gridCol w:w="2461"/>
        <w:gridCol w:w="167"/>
        <w:gridCol w:w="167"/>
        <w:gridCol w:w="237"/>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e355e503a4148ad97499320cf8267_10">
              <w:r>
                <w:rPr>
                  <w:rStyle w:val="InternetLink"/>
                  <w:rFonts w:ascii="Times New Roman;serif" w:hAnsi="Times New Roman;serif"/>
                  <w:b w:val="false"/>
                  <w:color w:val="0000FF"/>
                  <w:sz w:val="20"/>
                  <w:u w:val="single"/>
                </w:rPr>
                <w:t>Glossary of Defined Terms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e355e503a4148ad97499320cf8267_10">
              <w:r>
                <w:rPr>
                  <w:rStyle w:val="InternetLink"/>
                  <w:rFonts w:ascii="Times New Roman;serif" w:hAnsi="Times New Roman;serif"/>
                  <w:b w:val="false"/>
                  <w:color w:val="0000FF"/>
                  <w:sz w:val="20"/>
                  <w:u w:val="single"/>
                </w:rPr>
                <w:t>ii</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e355e503a4148ad97499320cf8267_16">
              <w:r>
                <w:rPr>
                  <w:rStyle w:val="InternetLink"/>
                  <w:rFonts w:ascii="Times New Roman;serif" w:hAnsi="Times New Roman;serif"/>
                  <w:b/>
                  <w:color w:val="0000FF"/>
                  <w:sz w:val="20"/>
                  <w:u w:val="single"/>
                </w:rPr>
                <w:t>FINANCIAL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e355e503a4148ad97499320cf8267_16">
              <w:r>
                <w:rPr>
                  <w:rStyle w:val="InternetLink"/>
                  <w:rFonts w:ascii="Times New Roman;serif" w:hAnsi="Times New Roman;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e355e503a4148ad97499320cf8267_19">
              <w:r>
                <w:rPr>
                  <w:rStyle w:val="InternetLink"/>
                  <w:rFonts w:ascii="Times New Roman;serif" w:hAnsi="Times New Roman;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e355e503a4148ad97499320cf8267_19">
              <w:r>
                <w:rPr>
                  <w:rStyle w:val="InternetLink"/>
                  <w:rFonts w:ascii="Times New Roman;serif" w:hAnsi="Times New Roman;serif"/>
                  <w:b w:val="false"/>
                  <w:color w:val="0000FF"/>
                  <w:sz w:val="20"/>
                  <w:u w:val="single"/>
                </w:rPr>
                <w:t>1</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e355e503a4148ad97499320cf8267_25">
              <w:r>
                <w:rPr>
                  <w:rStyle w:val="InternetLink"/>
                  <w:rFonts w:ascii="Times New Roman;serif" w:hAnsi="Times New Roman;serif"/>
                  <w:b w:val="false"/>
                  <w:color w:val="0000FF"/>
                  <w:sz w:val="20"/>
                  <w:u w:val="single"/>
                </w:rPr>
                <w:t>Consolidated Statements of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e355e503a4148ad97499320cf8267_25">
              <w:r>
                <w:rPr>
                  <w:rStyle w:val="InternetLink"/>
                  <w:rFonts w:ascii="Times New Roman;serif" w:hAnsi="Times New Roman;serif"/>
                  <w:b w:val="false"/>
                  <w:color w:val="0000FF"/>
                  <w:sz w:val="20"/>
                  <w:u w:val="single"/>
                </w:rPr>
                <w:t>2</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e355e503a4148ad97499320cf8267_28">
              <w:r>
                <w:rPr>
                  <w:rStyle w:val="InternetLink"/>
                  <w:rFonts w:ascii="Times New Roman;serif" w:hAnsi="Times New Roman;serif"/>
                  <w:b w:val="false"/>
                  <w:color w:val="0000FF"/>
                  <w:sz w:val="20"/>
                  <w:u w:val="single"/>
                </w:rPr>
                <w:t>Consolidated Statements of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e355e503a4148ad97499320cf8267_28">
              <w:r>
                <w:rPr>
                  <w:rStyle w:val="InternetLink"/>
                  <w:rFonts w:ascii="Times New Roman;serif" w:hAnsi="Times New Roman;serif"/>
                  <w:b w:val="false"/>
                  <w:color w:val="0000FF"/>
                  <w:sz w:val="20"/>
                  <w:u w:val="single"/>
                </w:rPr>
                <w:t>3</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e355e503a4148ad97499320cf8267_31">
              <w:r>
                <w:rPr>
                  <w:rStyle w:val="InternetLink"/>
                  <w:rFonts w:ascii="Times New Roman;serif" w:hAnsi="Times New Roman;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e355e503a4148ad97499320cf8267_31">
              <w:r>
                <w:rPr>
                  <w:rStyle w:val="InternetLink"/>
                  <w:rFonts w:ascii="Times New Roman;serif" w:hAnsi="Times New Roman;serif"/>
                  <w:b w:val="false"/>
                  <w:color w:val="0000FF"/>
                  <w:sz w:val="20"/>
                  <w:u w:val="single"/>
                </w:rPr>
                <w:t>4</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e355e503a4148ad97499320cf8267_340">
              <w:r>
                <w:rPr>
                  <w:rStyle w:val="InternetLink"/>
                  <w:rFonts w:ascii="Times New Roman;serif" w:hAnsi="Times New Roman;serif"/>
                  <w:b w:val="false"/>
                  <w:color w:val="0000FF"/>
                  <w:sz w:val="20"/>
                  <w:u w:val="single"/>
                </w:rPr>
                <w:t>Consolidated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e355e503a4148ad97499320cf8267_340">
              <w:r>
                <w:rPr>
                  <w:rStyle w:val="InternetLink"/>
                  <w:rFonts w:ascii="Times New Roman;serif" w:hAnsi="Times New Roman;serif"/>
                  <w:b w:val="false"/>
                  <w:color w:val="0000FF"/>
                  <w:sz w:val="20"/>
                  <w:u w:val="single"/>
                </w:rPr>
                <w:t>6</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e355e503a4148ad97499320cf8267_37">
              <w:r>
                <w:rPr>
                  <w:rStyle w:val="InternetLink"/>
                  <w:rFonts w:ascii="Times New Roman;serif" w:hAnsi="Times New Roman;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e355e503a4148ad97499320cf8267_37">
              <w:r>
                <w:rPr>
                  <w:rStyle w:val="InternetLink"/>
                  <w:rFonts w:ascii="Times New Roman;serif" w:hAnsi="Times New Roman;serif"/>
                  <w:b w:val="false"/>
                  <w:color w:val="0000FF"/>
                  <w:sz w:val="20"/>
                  <w:u w:val="single"/>
                </w:rPr>
                <w:t>7</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e355e503a4148ad97499320cf8267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e355e503a4148ad97499320cf8267_94">
              <w:r>
                <w:rPr>
                  <w:rStyle w:val="InternetLink"/>
                  <w:rFonts w:ascii="Times New Roman;serif" w:hAnsi="Times New Roman;serif"/>
                  <w:b w:val="false"/>
                  <w:color w:val="0000FF"/>
                  <w:sz w:val="20"/>
                  <w:u w:val="single"/>
                </w:rPr>
                <w:t>35</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e355e503a4148ad97499320cf8267_163">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e355e503a4148ad97499320cf8267_163">
              <w:r>
                <w:rPr>
                  <w:rStyle w:val="InternetLink"/>
                  <w:rFonts w:ascii="Times New Roman;serif" w:hAnsi="Times New Roman;serif"/>
                  <w:b w:val="false"/>
                  <w:color w:val="0000FF"/>
                  <w:sz w:val="20"/>
                  <w:u w:val="single"/>
                </w:rPr>
                <w:t>64</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e355e503a4148ad97499320cf8267_166">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e355e503a4148ad97499320cf8267_166">
              <w:r>
                <w:rPr>
                  <w:rStyle w:val="InternetLink"/>
                  <w:rFonts w:ascii="Times New Roman;serif" w:hAnsi="Times New Roman;serif"/>
                  <w:b w:val="false"/>
                  <w:color w:val="0000FF"/>
                  <w:sz w:val="20"/>
                  <w:u w:val="single"/>
                </w:rPr>
                <w:t>64</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e355e503a4148ad97499320cf8267_169">
              <w:r>
                <w:rPr>
                  <w:rStyle w:val="InternetLink"/>
                  <w:rFonts w:ascii="Times New Roman;serif" w:hAnsi="Times New Roman;serif"/>
                  <w:b/>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e355e503a4148ad97499320cf8267_172">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e355e503a4148ad97499320cf8267_172">
              <w:r>
                <w:rPr>
                  <w:rStyle w:val="InternetLink"/>
                  <w:rFonts w:ascii="Times New Roman;serif" w:hAnsi="Times New Roman;serif"/>
                  <w:b w:val="false"/>
                  <w:color w:val="0000FF"/>
                  <w:sz w:val="20"/>
                  <w:u w:val="single"/>
                </w:rPr>
                <w:t>64</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e355e503a4148ad97499320cf8267_175">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e355e503a4148ad97499320cf8267_175">
              <w:r>
                <w:rPr>
                  <w:rStyle w:val="InternetLink"/>
                  <w:rFonts w:ascii="Times New Roman;serif" w:hAnsi="Times New Roman;serif"/>
                  <w:b w:val="false"/>
                  <w:color w:val="0000FF"/>
                  <w:sz w:val="20"/>
                  <w:u w:val="single"/>
                </w:rPr>
                <w:t>64</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e355e503a4148ad97499320cf8267_178">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e355e503a4148ad97499320cf8267_178">
              <w:r>
                <w:rPr>
                  <w:rStyle w:val="InternetLink"/>
                  <w:rFonts w:ascii="Times New Roman;serif" w:hAnsi="Times New Roman;serif"/>
                  <w:b w:val="false"/>
                  <w:color w:val="0000FF"/>
                  <w:sz w:val="20"/>
                  <w:u w:val="single"/>
                </w:rPr>
                <w:t>64</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e355e503a4148ad97499320cf8267_181">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e355e503a4148ad97499320cf8267_181">
              <w:r>
                <w:rPr>
                  <w:rStyle w:val="InternetLink"/>
                  <w:rFonts w:ascii="Times New Roman;serif" w:hAnsi="Times New Roman;serif"/>
                  <w:b w:val="false"/>
                  <w:color w:val="0000FF"/>
                  <w:sz w:val="20"/>
                  <w:u w:val="single"/>
                </w:rPr>
                <w:t>65</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77e355e503a4148ad97499320cf8267_184">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e355e503a4148ad97499320cf8267_184">
              <w:r>
                <w:rPr>
                  <w:rStyle w:val="InternetLink"/>
                  <w:rFonts w:ascii="Times New Roman;serif" w:hAnsi="Times New Roman;serif"/>
                  <w:b w:val="false"/>
                  <w:color w:val="0000FF"/>
                  <w:sz w:val="20"/>
                  <w:u w:val="single"/>
                </w:rPr>
                <w:t>66</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77e355e503a4148ad97499320cf8267_187">
              <w:r>
                <w:rPr>
                  <w:rStyle w:val="InternetLink"/>
                  <w:rFonts w:ascii="Times New Roman;serif" w:hAnsi="Times New Roman;serif"/>
                  <w:b/>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7e355e503a4148ad97499320cf8267_187">
              <w:r>
                <w:rPr>
                  <w:rStyle w:val="InternetLink"/>
                  <w:rFonts w:ascii="Times New Roman;serif" w:hAnsi="Times New Roman;serif"/>
                  <w:b w:val="false"/>
                  <w:color w:val="0000FF"/>
                  <w:sz w:val="20"/>
                  <w:u w:val="single"/>
                </w:rPr>
                <w:t>67</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48285"/>
                <wp:effectExtent l="0" t="0" r="0" b="0"/>
                <wp:wrapNone/>
                <wp:docPr id="2" name="Frame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160" w:after="16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GLOSSARY OF DEFINED TERMS</w:t>
      </w:r>
    </w:p>
    <w:p>
      <w:pPr>
        <w:pStyle w:val="TextBody"/>
        <w:bidi w:val="0"/>
        <w:spacing w:before="0" w:after="0"/>
        <w:jc w:val="center"/>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acronyms and terms may be used throughout this Form 10-Q, including the consolidated financial statements and related notes.</w:t>
      </w:r>
    </w:p>
    <w:tbl>
      <w:tblPr>
        <w:tblW w:w="10205" w:type="dxa"/>
        <w:jc w:val="center"/>
        <w:tblInd w:w="0" w:type="dxa"/>
        <w:tblLayout w:type="fixed"/>
        <w:tblCellMar>
          <w:top w:w="28" w:type="dxa"/>
          <w:left w:w="28" w:type="dxa"/>
          <w:bottom w:w="28" w:type="dxa"/>
          <w:right w:w="28" w:type="dxa"/>
        </w:tblCellMar>
      </w:tblPr>
      <w:tblGrid>
        <w:gridCol w:w="441"/>
        <w:gridCol w:w="385"/>
        <w:gridCol w:w="397"/>
        <w:gridCol w:w="109"/>
        <w:gridCol w:w="109"/>
        <w:gridCol w:w="109"/>
        <w:gridCol w:w="2679"/>
        <w:gridCol w:w="2508"/>
        <w:gridCol w:w="3468"/>
      </w:tblGrid>
      <w:tr>
        <w:trPr/>
        <w:tc>
          <w:tcPr>
            <w:tcW w:w="44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468" w:type="dxa"/>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for sale</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Liability Committee</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Liability Management</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Percentage Yield</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Adjustable-rate mortgage</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Business-to-Business</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Business-to-Consumer</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BKU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BankUnited, Inc.</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Owned Life Insurance</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BankUnited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BankUnited, National Association</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BankUnited, National Association</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Bridge Funding Group, Inc.</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FHA and VA insured mortgages from third party servicers who have exercised their right to purchase these loans out of GNMA securitizations</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expected credit losses</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Tier 1 capital</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loans including CRE, C&amp;I, mortgage warehouse lending loans and Pinnacle public finance</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CPR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Constant prepayment rate</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loans, including non-owner occupied commercial real estate and construction and land</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 loans, including owner-occupied commercial real estate</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DSCR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Service Coverage Ratio</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value of equity</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Deposit Insurance Act</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Deposit Insurance Corporation</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 Funds Rate</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Housing Administration</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Isaac Corporation (credit score)</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Reserve Bank</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generally accepted accounting principles</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GDP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Domestic Product</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GNMA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National Mortgage Association</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Homeowner Association</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Swaps and Derivatives Association</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Loan-to-value</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Metropolitan Statistical Area</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76555"/>
                <wp:effectExtent l="0" t="0" r="0" b="0"/>
                <wp:wrapNone/>
                <wp:docPr id="3" name="Frame3"/>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before="0" w:after="40"/>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before="0" w:after="40"/>
                        <w:ind w:left="0" w:right="0" w:firstLine="360"/>
                        <w:jc w:val="center"/>
                        <w:rPr/>
                      </w:pPr>
                      <w:r>
                        <w:rPr/>
                      </w:r>
                    </w:p>
                  </w:txbxContent>
                </v:textbox>
                <w10:wrap type="none"/>
              </v:rect>
            </w:pict>
          </mc:Fallback>
        </mc:AlternateContent>
      </w:r>
    </w:p>
    <w:p>
      <w:pPr>
        <w:pStyle w:val="TextBody"/>
        <w:bidi w:val="0"/>
        <w:spacing w:before="160" w:after="160"/>
        <w:ind w:left="0" w:right="0" w:firstLine="360"/>
        <w:jc w:val="left"/>
        <w:rPr/>
      </w:pPr>
      <w:r>
        <w:rPr/>
      </w:r>
    </w:p>
    <w:tbl>
      <w:tblPr>
        <w:tblW w:w="6133" w:type="dxa"/>
        <w:jc w:val="center"/>
        <w:tblInd w:w="0" w:type="dxa"/>
        <w:tblLayout w:type="fixed"/>
        <w:tblCellMar>
          <w:top w:w="28" w:type="dxa"/>
          <w:left w:w="28" w:type="dxa"/>
          <w:bottom w:w="28" w:type="dxa"/>
          <w:right w:w="28" w:type="dxa"/>
        </w:tblCellMar>
      </w:tblPr>
      <w:tblGrid>
        <w:gridCol w:w="297"/>
        <w:gridCol w:w="262"/>
        <w:gridCol w:w="267"/>
        <w:gridCol w:w="109"/>
        <w:gridCol w:w="109"/>
        <w:gridCol w:w="109"/>
        <w:gridCol w:w="1455"/>
        <w:gridCol w:w="1455"/>
        <w:gridCol w:w="2070"/>
      </w:tblGrid>
      <w:tr>
        <w:trPr/>
        <w:tc>
          <w:tcPr>
            <w:tcW w:w="2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warehouse lending</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NDFI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Non-depository financial institutions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NIDDA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demand deposits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asset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NRSRO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Nationally recognized statistical rating organization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PCD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Purchased credit-deteriorated</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Pinnacle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Pinnacle Public Finance, Inc.</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PPNR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Pre-tax, pre-provision net revenue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Purchased seasoned loans</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 Estate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 Trust</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Assets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Equity</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Participation Agreement</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Small Business Administration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 York, New Jersey and Connecticut </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guaranteed by the U.S. Department of Veterans Affairs</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76555"/>
                <wp:effectExtent l="0" t="0" r="0" b="0"/>
                <wp:wrapNone/>
                <wp:docPr id="4" name="Frame4"/>
                <a:graphic xmlns:a="http://schemas.openxmlformats.org/drawingml/2006/main">
                  <a:graphicData uri="http://schemas.microsoft.com/office/word/2010/wordprocessingShape">
                    <wps:wsp>
                      <wps:cNvSpPr txBox="1"/>
                      <wps:spPr>
                        <a:xfrm>
                          <a:off x="0" y="0"/>
                          <a:ext cx="6480175" cy="376555"/>
                        </a:xfrm>
                        <a:prstGeom prst="rect"/>
                        <a:solidFill>
                          <a:srgbClr val="FFFFFF"/>
                        </a:solidFill>
                      </wps:spPr>
                      <wps:txb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iii</w:t>
                            </w:r>
                          </w:p>
                          <w:p>
                            <w:pPr>
                              <w:pStyle w:val="TextBody"/>
                              <w:bidi w:val="0"/>
                              <w:spacing w:before="0" w:after="40"/>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iii</w:t>
                      </w:r>
                    </w:p>
                    <w:p>
                      <w:pPr>
                        <w:pStyle w:val="TextBody"/>
                        <w:bidi w:val="0"/>
                        <w:spacing w:before="0" w:after="40"/>
                        <w:ind w:left="0" w:right="0" w:firstLine="360"/>
                        <w:jc w:val="center"/>
                        <w:rPr/>
                      </w:pPr>
                      <w:r>
                        <w:rPr/>
                      </w:r>
                    </w:p>
                  </w:txbxContent>
                </v:textbox>
                <w10:wrap type="none"/>
              </v:rect>
            </w:pict>
          </mc:Fallback>
        </mc:AlternateContent>
      </w:r>
    </w:p>
    <w:p>
      <w:pPr>
        <w:pStyle w:val="TextBody"/>
        <w:bidi w:val="0"/>
        <w:spacing w:before="160" w:after="16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695"/>
        <w:gridCol w:w="2217"/>
        <w:gridCol w:w="2118"/>
        <w:gridCol w:w="211"/>
        <w:gridCol w:w="1081"/>
        <w:gridCol w:w="109"/>
        <w:gridCol w:w="109"/>
        <w:gridCol w:w="109"/>
        <w:gridCol w:w="109"/>
        <w:gridCol w:w="211"/>
        <w:gridCol w:w="1081"/>
        <w:gridCol w:w="155"/>
      </w:tblGrid>
      <w:tr>
        <w:trPr/>
        <w:tc>
          <w:tcPr>
            <w:tcW w:w="2695"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9,263,651 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23,929,073 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24,273,707 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Allowance for credit losses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net</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23,711,557 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24,053,882 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Bank owned life insurance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equipment,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809,129 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34,882,242 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35,039,451 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Demand deposits: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9,109,984 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6,189,534 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and money market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10,164,703 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3,888,684 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28,881,248 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29,352,905 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Federal funds purchased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borrowings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31,878,837 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31,985,622 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 400,000,000 shares authorized; 72,276,530 and 74,138,066 shares issued and outstanding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2,970,988 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stockholders' equity </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3,053,829 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stockholders' equity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34,882,242 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35,039,451 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2755"/>
                <wp:effectExtent l="0" t="0" r="0" b="0"/>
                <wp:wrapNone/>
                <wp:docPr id="5" name="Frame5"/>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40"/>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40"/>
                        <w:ind w:left="0" w:right="0" w:firstLine="36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 - UNAUDITED</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532"/>
        <w:gridCol w:w="1311"/>
        <w:gridCol w:w="131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5"/>
      </w:tblGrid>
      <w:tr>
        <w:trPr/>
        <w:tc>
          <w:tcPr>
            <w:tcW w:w="153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5" w:type="dxa"/>
            <w:tcBorders/>
          </w:tcPr>
          <w:p>
            <w:pPr>
              <w:pStyle w:val="TableContents"/>
              <w:bidi w:val="0"/>
              <w:spacing w:before="0" w:after="283"/>
              <w:jc w:val="left"/>
              <w:rPr>
                <w:sz w:val="4"/>
                <w:szCs w:val="4"/>
              </w:rPr>
            </w:pPr>
            <w:r>
              <w:rPr>
                <w:sz w:val="4"/>
                <w:szCs w:val="4"/>
              </w:rPr>
            </w:r>
          </w:p>
        </w:tc>
      </w:tr>
      <w:tr>
        <w:trPr/>
        <w:tc>
          <w:tcPr>
            <w:tcW w:w="4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interest income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interest expense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income before provision for credit losses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credit losses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income after provision for credit losses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Non-interest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service charges and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on investment securities,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markets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non-interest income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Non-interest expense: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Occupancy and equipment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insurance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operating lease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non-interest expense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basic</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47980"/>
                <wp:effectExtent l="0" t="0" r="0" b="0"/>
                <wp:wrapNone/>
                <wp:docPr id="6" name="Frame6"/>
                <a:graphic xmlns:a="http://schemas.openxmlformats.org/drawingml/2006/main">
                  <a:graphicData uri="http://schemas.microsoft.com/office/word/2010/wordprocessingShape">
                    <wps:wsp>
                      <wps:cNvSpPr txBox="1"/>
                      <wps:spPr>
                        <a:xfrm>
                          <a:off x="0" y="0"/>
                          <a:ext cx="6480175" cy="347980"/>
                        </a:xfrm>
                        <a:prstGeom prst="rect"/>
                        <a:solidFill>
                          <a:srgbClr val="FFFFFF"/>
                        </a:solidFill>
                      </wps:spPr>
                      <wps:txb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590"/>
        <w:gridCol w:w="1382"/>
        <w:gridCol w:w="1395"/>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156"/>
      </w:tblGrid>
      <w:tr>
        <w:trPr/>
        <w:tc>
          <w:tcPr>
            <w:tcW w:w="1590"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6" w:type="dxa"/>
            <w:tcBorders/>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investment securities available for sale: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unrealized holding gains (losses) arising during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net gains realized in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gains (losses) on securities available for sale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derivative instruments: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unrealized holding gains (losses) arising during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net gains realized in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gains (losses) on derivative instruments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27380"/>
                <wp:effectExtent l="0" t="0" r="0" b="0"/>
                <wp:wrapNone/>
                <wp:docPr id="7" name="Frame7"/>
                <a:graphic xmlns:a="http://schemas.openxmlformats.org/drawingml/2006/main">
                  <a:graphicData uri="http://schemas.microsoft.com/office/word/2010/wordprocessingShape">
                    <wps:wsp>
                      <wps:cNvSpPr txBox="1"/>
                      <wps:spPr>
                        <a:xfrm>
                          <a:off x="0" y="0"/>
                          <a:ext cx="6480175" cy="627380"/>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160" w:after="160"/>
        <w:ind w:left="0" w:right="0" w:firstLine="360"/>
        <w:jc w:val="left"/>
        <w:rPr/>
      </w:pPr>
      <w:r>
        <w:rPr/>
      </w:r>
    </w:p>
    <w:tbl>
      <w:tblPr>
        <w:tblW w:w="9627" w:type="dxa"/>
        <w:jc w:val="center"/>
        <w:tblInd w:w="0" w:type="dxa"/>
        <w:tblLayout w:type="fixed"/>
        <w:tblCellMar>
          <w:top w:w="28" w:type="dxa"/>
          <w:left w:w="28" w:type="dxa"/>
          <w:bottom w:w="28" w:type="dxa"/>
          <w:right w:w="28" w:type="dxa"/>
        </w:tblCellMar>
      </w:tblPr>
      <w:tblGrid>
        <w:gridCol w:w="2429"/>
        <w:gridCol w:w="2138"/>
        <w:gridCol w:w="2152"/>
        <w:gridCol w:w="213"/>
        <w:gridCol w:w="837"/>
        <w:gridCol w:w="109"/>
        <w:gridCol w:w="109"/>
        <w:gridCol w:w="109"/>
        <w:gridCol w:w="109"/>
        <w:gridCol w:w="213"/>
        <w:gridCol w:w="837"/>
        <w:gridCol w:w="109"/>
        <w:gridCol w:w="109"/>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accretion,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credit losses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investment securities,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 based compensation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loans held for sale,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Daily cash settlement of derivative instruments,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in other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 other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repayments and calls of investment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investment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non-marketable equity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redemption of non-marketable equity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loans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Loan originations and repayments, net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 of loans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Disposition of operating lease equipment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24180"/>
                <wp:effectExtent l="0" t="0" r="0" b="0"/>
                <wp:wrapNone/>
                <wp:docPr id="8" name="Frame8"/>
                <a:graphic xmlns:a="http://schemas.openxmlformats.org/drawingml/2006/main">
                  <a:graphicData uri="http://schemas.microsoft.com/office/word/2010/wordprocessingShape">
                    <wps:wsp>
                      <wps:cNvSpPr txBox="1"/>
                      <wps:spPr>
                        <a:xfrm>
                          <a:off x="0" y="0"/>
                          <a:ext cx="6480175" cy="424180"/>
                        </a:xfrm>
                        <a:prstGeom prst="rect"/>
                        <a:solidFill>
                          <a:srgbClr val="FFFFFF"/>
                        </a:solidFill>
                      </wps:spPr>
                      <wps:txb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lineRule="auto" w:line="288" w:before="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 UNAUDITED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tbl>
      <w:tblPr>
        <w:tblW w:w="8807" w:type="dxa"/>
        <w:jc w:val="center"/>
        <w:tblInd w:w="0" w:type="dxa"/>
        <w:tblLayout w:type="fixed"/>
        <w:tblCellMar>
          <w:top w:w="28" w:type="dxa"/>
          <w:left w:w="28" w:type="dxa"/>
          <w:bottom w:w="28" w:type="dxa"/>
          <w:right w:w="28" w:type="dxa"/>
        </w:tblCellMar>
      </w:tblPr>
      <w:tblGrid>
        <w:gridCol w:w="2147"/>
        <w:gridCol w:w="1882"/>
        <w:gridCol w:w="1896"/>
        <w:gridCol w:w="211"/>
        <w:gridCol w:w="826"/>
        <w:gridCol w:w="109"/>
        <w:gridCol w:w="109"/>
        <w:gridCol w:w="109"/>
        <w:gridCol w:w="109"/>
        <w:gridCol w:w="211"/>
        <w:gridCol w:w="826"/>
        <w:gridCol w:w="109"/>
        <w:gridCol w:w="109"/>
        <w:gridCol w:w="154"/>
      </w:tblGrid>
      <w:tr>
        <w:trPr/>
        <w:tc>
          <w:tcPr>
            <w:tcW w:w="214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increase (decrease) in deposits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federal funds purchased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FHLB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FHLB 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paid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provided by financing activities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increase in cash and cash equivalents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beginning of period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end of period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Supplemental disclosure of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paid, net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Supplemental schedule of non-cash investing and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from loans to loans held for sale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from equipment held for sale to operating lease equipment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not paid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Unsettled securities trades, net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145,025 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lease liabilities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47980"/>
                <wp:effectExtent l="0" t="0" r="0" b="0"/>
                <wp:wrapNone/>
                <wp:docPr id="9" name="Frame9"/>
                <a:graphic xmlns:a="http://schemas.openxmlformats.org/drawingml/2006/main">
                  <a:graphicData uri="http://schemas.microsoft.com/office/word/2010/wordprocessingShape">
                    <wps:wsp>
                      <wps:cNvSpPr txBox="1"/>
                      <wps:spPr>
                        <a:xfrm>
                          <a:off x="0" y="0"/>
                          <a:ext cx="6480175" cy="347980"/>
                        </a:xfrm>
                        <a:prstGeom prst="rect"/>
                        <a:solidFill>
                          <a:srgbClr val="FFFFFF"/>
                        </a:solidFill>
                      </wps:spPr>
                      <wps:txb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v:textbox>
                <w10:wrap type="none"/>
              </v:rect>
            </w:pict>
          </mc:Fallback>
        </mc:AlternateContent>
      </w:r>
    </w:p>
    <w:p>
      <w:pPr>
        <w:pStyle w:val="TextBody"/>
        <w:bidi w:val="0"/>
        <w:spacing w:before="160" w:after="16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58"/>
        <w:gridCol w:w="496"/>
        <w:gridCol w:w="498"/>
        <w:gridCol w:w="480"/>
        <w:gridCol w:w="481"/>
        <w:gridCol w:w="33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225"/>
        <w:gridCol w:w="864"/>
        <w:gridCol w:w="127"/>
        <w:gridCol w:w="109"/>
        <w:gridCol w:w="109"/>
        <w:gridCol w:w="109"/>
        <w:gridCol w:w="196"/>
        <w:gridCol w:w="871"/>
        <w:gridCol w:w="155"/>
      </w:tblGrid>
      <w:tr>
        <w:trPr/>
        <w:tc>
          <w:tcPr>
            <w:tcW w:w="85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73,354,206 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3,008,613 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(203,080)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3,015,537 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($0.33 per common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(23,672)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Equity based compensation, net of shares forfeited and surrendered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Repurchase of common stock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(1,073,656)</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(50,633)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72,276,530 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3,055,604 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(216,941)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3,003,405 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75,242,048 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(236,234)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2,897,582 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($0.31 per common share)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Equity based compensation, net of shares forfeited and surrendered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(23,137)</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75,218,911 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306,271 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2,877,237 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(231,243)</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2,953,017 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02"/>
        <w:gridCol w:w="415"/>
        <w:gridCol w:w="417"/>
        <w:gridCol w:w="480"/>
        <w:gridCol w:w="481"/>
        <w:gridCol w:w="33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225"/>
        <w:gridCol w:w="864"/>
        <w:gridCol w:w="127"/>
        <w:gridCol w:w="109"/>
        <w:gridCol w:w="109"/>
        <w:gridCol w:w="109"/>
        <w:gridCol w:w="196"/>
        <w:gridCol w:w="871"/>
        <w:gridCol w:w="109"/>
        <w:gridCol w:w="109"/>
        <w:gridCol w:w="155"/>
      </w:tblGrid>
      <w:tr>
        <w:trPr/>
        <w:tc>
          <w:tcPr>
            <w:tcW w:w="80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74,138,066 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2,970,988 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(189,595)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3,053,829 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($0.33 per common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Equity based compensation, net of shares forfeited and surrendered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502,444 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Repurchase of common stock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(2,363,980)</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72,276,530 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3,055,604 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(216,941)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3,003,405 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74,748,370 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2,796,440 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(284,541)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($0.62 per common share)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Equity based compensation, net of shares forfeited and surrendered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470,541 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75,218,911 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306,271 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2,877,237 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(231,243)</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2,953,017 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47980"/>
                <wp:effectExtent l="0" t="0" r="0" b="0"/>
                <wp:wrapNone/>
                <wp:docPr id="10" name="Frame10"/>
                <a:graphic xmlns:a="http://schemas.openxmlformats.org/drawingml/2006/main">
                  <a:graphicData uri="http://schemas.microsoft.com/office/word/2010/wordprocessingShape">
                    <wps:wsp>
                      <wps:cNvSpPr txBox="1"/>
                      <wps:spPr>
                        <a:xfrm>
                          <a:off x="0" y="0"/>
                          <a:ext cx="6480175" cy="347980"/>
                        </a:xfrm>
                        <a:prstGeom prst="rect"/>
                        <a:solidFill>
                          <a:srgbClr val="FFFFFF"/>
                        </a:solidFill>
                      </wps:spPr>
                      <wps:txb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lineRule="auto" w:line="288" w:before="0" w:after="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Basis of Presentation and Summary of Significant Accounting Policies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BankUnited, Inc. is a bank holding company with one wholly-owned subsidiary, BankUnited, collectively, the Company. BankUnited, a national banking association headquartered in Miami Lakes, Florida, provides a full range of commercial lending and both commercial and consumer deposit services through banking centers located in the state of Florida, the New York metropolitan area and Dallas. The Bank offers a full suite of commercial lending and deposit products through regional commercial banking offices in Atlanta, Charlotte and Morristown, New Jersey, and certain commercial lending and deposit products through national platforms.</w:t>
      </w:r>
    </w:p>
    <w:p>
      <w:pPr>
        <w:pStyle w:val="TextBody"/>
        <w:bidi w:val="0"/>
        <w:spacing w:lineRule="auto" w:line="288" w:before="160" w:after="160"/>
        <w:ind w:left="0" w:right="0" w:firstLine="360"/>
        <w:jc w:val="left"/>
        <w:rPr/>
      </w:pPr>
      <w:r>
        <w:rPr>
          <w:rFonts w:ascii="Times New Roman;serif" w:hAnsi="Times New Roman;serif"/>
          <w:b w:val="false"/>
          <w:color w:val="000000"/>
          <w:sz w:val="20"/>
        </w:rPr>
        <w:t>The accompanying unaudited consolidated financial statements have been prepared in accordance with generally accepted accounting principles for interim financial information and the instructions to Form 10-Q and Article 10 of Regulation S-X of the SEC. Accordingly, these financial statements do not include all of the information and footnotes required for a fair presentation of financial position, results of operations and cash flows in conformity with GAAP and should be read in conjunction with the Company’s consolidated financial statements and the notes thereto appearing in BKU’s Annual Report on Form 10-K for the year ended December 31, 2025, filed with the SEC. In the opinion of management, all adjustments, consisting of normal recurring adjustments, considered necessary for a fair presentation have been included. Operating results for the three and six months ended</w:t>
      </w:r>
      <w:r>
        <w:rPr>
          <w:color w:val="000000"/>
        </w:rPr>
        <w:t xml:space="preserve"> </w:t>
      </w:r>
      <w:r>
        <w:rPr>
          <w:rFonts w:ascii="Times New Roman;serif" w:hAnsi="Times New Roman;serif"/>
          <w:b w:val="false"/>
          <w:color w:val="000000"/>
          <w:sz w:val="20"/>
        </w:rPr>
        <w:t>June 30, 2026 are not necessarily indicative of the results that may be expected in future periods.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 single operating segment and thus a single reportable segment. The Company’s CEO is the CODM. While the CODM monitors the revenue streams and deposit and loan balances of its lines of business, the business lines serve a similar base of primarily commercial clients and provide a comparable range of products and services, all managed through similar processes and platforms. The CODM regularly assesses the performance of its single operating and reporting segment and decides how to allocate resources based on net income as reported in the Company’s consolidated statements of income. The CODM reviews expense information at the same level of detail as that disclosed in the Company's consolidated financial statements.</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Accounting Estimates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preparing the consolidated financial statements, management is required to make estimates and assumptions that affect the reported amounts of assets, liabilities, revenues, and expenses and disclosures of contingent assets and liabilities. Actual results could differ significantly from these estimates.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most significant estimate impacting the Company's consolidated financial statements is the ACL.</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Accounting Pronouncements Not Yet Adopted</w:t>
      </w:r>
    </w:p>
    <w:p>
      <w:pPr>
        <w:pStyle w:val="TextBody"/>
        <w:bidi w:val="0"/>
        <w:spacing w:lineRule="auto" w:line="288" w:before="160" w:after="160"/>
        <w:ind w:left="0" w:right="0" w:firstLine="360"/>
        <w:jc w:val="left"/>
        <w:rPr/>
      </w:pPr>
      <w:r>
        <w:rPr>
          <w:rFonts w:ascii="Times New Roman;serif" w:hAnsi="Times New Roman;serif"/>
          <w:b w:val="false"/>
          <w:color w:val="000000"/>
          <w:sz w:val="20"/>
        </w:rPr>
        <w:t>ASU No. 2024-03—</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This ASU requires additional disclosure in interim and annual periods about specific expense categories in the notes to the financial statements. This ASU is effective for the Company for fiscal years beginning after December 15, 2026, and interim periods within fiscal years beginning after December 15, 2027. The adoption of this ASU is not expected to have an impact on the Company's consolidated financial position, results of operations or cash flows but may lead to additional disclosures about expenses in the Notes to the Consolidated Financial Statements.</w:t>
      </w:r>
    </w:p>
    <w:p>
      <w:pPr>
        <w:pStyle w:val="TextBody"/>
        <w:bidi w:val="0"/>
        <w:spacing w:lineRule="auto" w:line="288" w:before="160" w:after="160"/>
        <w:ind w:left="0" w:right="0" w:firstLine="360"/>
        <w:jc w:val="left"/>
        <w:rPr/>
      </w:pPr>
      <w:r>
        <w:rPr>
          <w:rFonts w:ascii="Times New Roman;serif" w:hAnsi="Times New Roman;serif"/>
          <w:b w:val="false"/>
          <w:color w:val="000000"/>
          <w:sz w:val="20"/>
        </w:rPr>
        <w:t>ASU No. 2025-06—</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The ASU eliminates the prior stage-based model for capitalization of internal-use software costs and replaces it with a principles-based approach that requires capitalization once management has approved and committed funding for a project and it is probable the project will be completed and the software will function as intended. The ASU is effective for the Company for interim and annual periods beginning after December 15, 2027, with early adoption permitted. The Company is currently evaluating the impact of this ASU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48285"/>
                <wp:effectExtent l="0" t="0" r="0" b="0"/>
                <wp:wrapNone/>
                <wp:docPr id="11" name="Frame1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160" w:after="160"/>
        <w:ind w:left="0" w:right="0" w:firstLine="360"/>
        <w:jc w:val="left"/>
        <w:rPr/>
      </w:pPr>
      <w:r>
        <w:rPr>
          <w:rFonts w:ascii="Times New Roman;serif" w:hAnsi="Times New Roman;serif"/>
          <w:b w:val="false"/>
          <w:color w:val="000000"/>
          <w:sz w:val="20"/>
        </w:rPr>
        <w:t>ASU 2025</w:t>
        <w:noBreakHyphen/>
        <w:t xml:space="preserve">08 – </w:t>
      </w:r>
      <w:r>
        <w:rPr>
          <w:rFonts w:ascii="Times New Roman;serif" w:hAnsi="Times New Roman;serif"/>
          <w:b w:val="false"/>
          <w:i/>
          <w:color w:val="000000"/>
          <w:sz w:val="20"/>
        </w:rPr>
        <w:t>Financial Instruments—Credit Losses (Topic 326): Purchased Loans</w:t>
      </w:r>
      <w:r>
        <w:rPr>
          <w:rFonts w:ascii="Times New Roman;serif" w:hAnsi="Times New Roman;serif"/>
          <w:b w:val="false"/>
          <w:color w:val="000000"/>
          <w:sz w:val="20"/>
        </w:rPr>
        <w:t>. The ASU amends the accounting for certain acquired loans by expanding the CECL gross</w:t>
        <w:noBreakHyphen/>
        <w:t>up approach—previously applicable only to PCD loans—to a newly defined class of purchased seasoned loans ("PSL"). PSLs generally include non</w:t>
        <w:noBreakHyphen/>
        <w:t>PCD loans acquired in a business combination or those meeting defined seasoning criteria. Under the amended guidance, the Company will recognize the initial allowance for credit losses on PSLs as an adjustment to the loan's amortized cost basis rather than recording a Day 1 provision expense. The ASU is effective for the Company for fiscal years beginning after December 15, 2026, including interim periods within those fiscal years, and will be applied prospectively; early adoption is permitted. The Company is currently evaluating the impact of this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2    Earnings Per Common Share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computation of basic and diluted earnings per common share is presented below for the periods indicated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1631"/>
        <w:gridCol w:w="1279"/>
        <w:gridCol w:w="1289"/>
        <w:gridCol w:w="244"/>
        <w:gridCol w:w="837"/>
        <w:gridCol w:w="109"/>
        <w:gridCol w:w="109"/>
        <w:gridCol w:w="109"/>
        <w:gridCol w:w="109"/>
        <w:gridCol w:w="244"/>
        <w:gridCol w:w="837"/>
        <w:gridCol w:w="109"/>
        <w:gridCol w:w="109"/>
        <w:gridCol w:w="109"/>
        <w:gridCol w:w="109"/>
        <w:gridCol w:w="219"/>
        <w:gridCol w:w="862"/>
        <w:gridCol w:w="109"/>
        <w:gridCol w:w="109"/>
        <w:gridCol w:w="109"/>
        <w:gridCol w:w="109"/>
        <w:gridCol w:w="219"/>
        <w:gridCol w:w="862"/>
        <w:gridCol w:w="109"/>
        <w:gridCol w:w="109"/>
        <w:gridCol w:w="156"/>
      </w:tblGrid>
      <w:tr>
        <w:trPr/>
        <w:tc>
          <w:tcPr>
            <w:tcW w:w="163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
              </w:rPr>
            </w:pPr>
            <w:r>
              <w:rPr>
                <w:rFonts w:ascii="Times New Roman;serif" w:hAnsi="Times New Roman;serif"/>
                <w:b/>
                <w:color w:val="000000"/>
                <w:sz w:val="2"/>
              </w:rPr>
              <w:t>c</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common share: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Distributed and undistributed earnings allocated to participating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allocated to common stockholders for basic earnings per common share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72,630,405 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75,222,756 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73,569,419 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average unvested stock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for basic earnings per common share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71,449,628 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74,097,884 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72,409,670 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73,958,388 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common share</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allocated to common stockholders for basic earnings per common share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 for earnings reallocated from participating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used in calculating diluted earnings per common share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for basic earnings per common share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71,449,628 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74,097,884 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72,409,670 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certain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shares for diluted earnings per common share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71,791,807 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74,621,696 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72,836,130 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74,501,431 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Unvested shares of 390,103 and 193,639 for the three months ended June 30, 2026 and 2025, respectively, and unvested shares of 429,986 and 286,904 for the six months ended June 30, 2026 and 2025, respectively, were excluded from the calculation of diluted earnings per common share because their inclusion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48285"/>
                <wp:effectExtent l="0" t="0" r="0" b="0"/>
                <wp:wrapNone/>
                <wp:docPr id="12" name="Frame1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3    Investment Securities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Investment securities include investment securities available for sale and marketable equity securities. The investment securities portfolio consisted of the following at the dates indicated (in thousands):</w:t>
      </w:r>
    </w:p>
    <w:tbl>
      <w:tblPr>
        <w:tblW w:w="10205" w:type="dxa"/>
        <w:jc w:val="left"/>
        <w:tblInd w:w="0" w:type="dxa"/>
        <w:tblLayout w:type="fixed"/>
        <w:tblCellMar>
          <w:top w:w="28" w:type="dxa"/>
          <w:left w:w="28" w:type="dxa"/>
          <w:bottom w:w="28" w:type="dxa"/>
          <w:right w:w="28" w:type="dxa"/>
        </w:tblCellMar>
      </w:tblPr>
      <w:tblGrid>
        <w:gridCol w:w="1624"/>
        <w:gridCol w:w="1356"/>
        <w:gridCol w:w="1361"/>
        <w:gridCol w:w="211"/>
        <w:gridCol w:w="976"/>
        <w:gridCol w:w="109"/>
        <w:gridCol w:w="109"/>
        <w:gridCol w:w="109"/>
        <w:gridCol w:w="109"/>
        <w:gridCol w:w="211"/>
        <w:gridCol w:w="721"/>
        <w:gridCol w:w="109"/>
        <w:gridCol w:w="109"/>
        <w:gridCol w:w="109"/>
        <w:gridCol w:w="109"/>
        <w:gridCol w:w="211"/>
        <w:gridCol w:w="883"/>
        <w:gridCol w:w="109"/>
        <w:gridCol w:w="109"/>
        <w:gridCol w:w="109"/>
        <w:gridCol w:w="109"/>
        <w:gridCol w:w="211"/>
        <w:gridCol w:w="976"/>
        <w:gridCol w:w="156"/>
      </w:tblGrid>
      <w:tr>
        <w:trPr/>
        <w:tc>
          <w:tcPr>
            <w:tcW w:w="162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4568" w:type="dxa"/>
            <w:gridSpan w:val="18"/>
            <w:tcBorders/>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 for 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residential MBS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2,229,375 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commercial MBS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residential MBS and CMOs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2,526,164 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commercial MBS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2,364,360 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 family real estate-backed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Non-mortgage 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9,311,862 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Marketable equity securities </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9,317,614 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24"/>
        <w:gridCol w:w="1356"/>
        <w:gridCol w:w="1361"/>
        <w:gridCol w:w="211"/>
        <w:gridCol w:w="976"/>
        <w:gridCol w:w="109"/>
        <w:gridCol w:w="109"/>
        <w:gridCol w:w="109"/>
        <w:gridCol w:w="109"/>
        <w:gridCol w:w="211"/>
        <w:gridCol w:w="721"/>
        <w:gridCol w:w="109"/>
        <w:gridCol w:w="109"/>
        <w:gridCol w:w="109"/>
        <w:gridCol w:w="109"/>
        <w:gridCol w:w="211"/>
        <w:gridCol w:w="883"/>
        <w:gridCol w:w="109"/>
        <w:gridCol w:w="109"/>
        <w:gridCol w:w="109"/>
        <w:gridCol w:w="109"/>
        <w:gridCol w:w="211"/>
        <w:gridCol w:w="976"/>
        <w:gridCol w:w="156"/>
      </w:tblGrid>
      <w:tr>
        <w:trPr/>
        <w:tc>
          <w:tcPr>
            <w:tcW w:w="162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4568" w:type="dxa"/>
            <w:gridSpan w:val="18"/>
            <w:tcBorders/>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 for 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residential MBS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commercial MBS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residential MBS and CMOs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2,490,828 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commercial MBS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2,168,110 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 family real estate-backed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Non-mortgage 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9,525,046 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9,257,917 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3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Marketable equity securities </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9,263,651 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interest receivable on investments totaled $26 million and $30 million at June 30, 2026 and December 31, 2025, respectively, and is included in other assets in the accompanying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48285"/>
                <wp:effectExtent l="0" t="0" r="0" b="0"/>
                <wp:wrapNone/>
                <wp:docPr id="13" name="Frame1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June 30, 2026, contractual maturities of investment securities available for sale, adjusted for anticipated prepayments when applicable, were as follows (in thousands):</w:t>
      </w:r>
    </w:p>
    <w:tbl>
      <w:tblPr>
        <w:tblW w:w="6099" w:type="dxa"/>
        <w:jc w:val="left"/>
        <w:tblInd w:w="0" w:type="dxa"/>
        <w:tblLayout w:type="fixed"/>
        <w:tblCellMar>
          <w:top w:w="28" w:type="dxa"/>
          <w:left w:w="28" w:type="dxa"/>
          <w:bottom w:w="28" w:type="dxa"/>
          <w:right w:w="28" w:type="dxa"/>
        </w:tblCellMar>
      </w:tblPr>
      <w:tblGrid>
        <w:gridCol w:w="1130"/>
        <w:gridCol w:w="995"/>
        <w:gridCol w:w="1010"/>
        <w:gridCol w:w="211"/>
        <w:gridCol w:w="976"/>
        <w:gridCol w:w="109"/>
        <w:gridCol w:w="109"/>
        <w:gridCol w:w="109"/>
        <w:gridCol w:w="109"/>
        <w:gridCol w:w="211"/>
        <w:gridCol w:w="976"/>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9,594,139 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9,311,862 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value of securities pledged as collateral for FHLB advances, public deposits, interest rate swaps and to secure borrowing capacity at the FHLB and FRB totaled $5.6 billion and $8.0 billion at June 30, 2026 and December 31, 2025, respectively.</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gains (losses) on investment securities for the periods indicated (in thousands):</w:t>
      </w:r>
    </w:p>
    <w:tbl>
      <w:tblPr>
        <w:tblW w:w="10205" w:type="dxa"/>
        <w:jc w:val="left"/>
        <w:tblInd w:w="0" w:type="dxa"/>
        <w:tblLayout w:type="fixed"/>
        <w:tblCellMar>
          <w:top w:w="28" w:type="dxa"/>
          <w:left w:w="28" w:type="dxa"/>
          <w:bottom w:w="28" w:type="dxa"/>
          <w:right w:w="28" w:type="dxa"/>
        </w:tblCellMar>
      </w:tblPr>
      <w:tblGrid>
        <w:gridCol w:w="1876"/>
        <w:gridCol w:w="1649"/>
        <w:gridCol w:w="1653"/>
        <w:gridCol w:w="230"/>
        <w:gridCol w:w="673"/>
        <w:gridCol w:w="118"/>
        <w:gridCol w:w="118"/>
        <w:gridCol w:w="118"/>
        <w:gridCol w:w="118"/>
        <w:gridCol w:w="230"/>
        <w:gridCol w:w="509"/>
        <w:gridCol w:w="118"/>
        <w:gridCol w:w="109"/>
        <w:gridCol w:w="109"/>
        <w:gridCol w:w="109"/>
        <w:gridCol w:w="211"/>
        <w:gridCol w:w="616"/>
        <w:gridCol w:w="109"/>
        <w:gridCol w:w="109"/>
        <w:gridCol w:w="109"/>
        <w:gridCol w:w="109"/>
        <w:gridCol w:w="211"/>
        <w:gridCol w:w="616"/>
        <w:gridCol w:w="109"/>
        <w:gridCol w:w="109"/>
        <w:gridCol w:w="160"/>
      </w:tblGrid>
      <w:tr>
        <w:trPr/>
        <w:tc>
          <w:tcPr>
            <w:tcW w:w="187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9" w:type="dxa"/>
            <w:gridSpan w:val="2"/>
            <w:tcBorders/>
          </w:tcPr>
          <w:p>
            <w:pPr>
              <w:pStyle w:val="TableContents"/>
              <w:bidi w:val="0"/>
              <w:spacing w:before="0" w:after="283"/>
              <w:jc w:val="left"/>
              <w:rPr>
                <w:sz w:val="4"/>
                <w:szCs w:val="4"/>
              </w:rPr>
            </w:pPr>
            <w:r>
              <w:rPr>
                <w:sz w:val="4"/>
                <w:szCs w:val="4"/>
              </w:rPr>
            </w:r>
          </w:p>
        </w:tc>
      </w:tr>
      <w:tr>
        <w:trPr/>
        <w:tc>
          <w:tcPr>
            <w:tcW w:w="5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gains on investment securities AFS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losses on investment securities AFS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gain</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marketable equity securities recognized in earnings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investment securities, net</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48285"/>
                <wp:effectExtent l="0" t="0" r="0" b="0"/>
                <wp:wrapNone/>
                <wp:docPr id="14" name="Frame1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aggregate fair value and the aggregate amount by which amortized cost exceeded fair value for investment securities available for sale in unrealized loss positions aggregated by investment category and length of time that individual securities had been in continuous unrealized loss positions at the dates indicated (in thousands):</w:t>
      </w:r>
    </w:p>
    <w:tbl>
      <w:tblPr>
        <w:tblW w:w="10222" w:type="dxa"/>
        <w:jc w:val="left"/>
        <w:tblInd w:w="0" w:type="dxa"/>
        <w:tblLayout w:type="fixed"/>
        <w:tblCellMar>
          <w:top w:w="28" w:type="dxa"/>
          <w:left w:w="28" w:type="dxa"/>
          <w:bottom w:w="28" w:type="dxa"/>
          <w:right w:w="28" w:type="dxa"/>
        </w:tblCellMar>
      </w:tblPr>
      <w:tblGrid>
        <w:gridCol w:w="825"/>
        <w:gridCol w:w="225"/>
        <w:gridCol w:w="226"/>
        <w:gridCol w:w="211"/>
        <w:gridCol w:w="976"/>
        <w:gridCol w:w="109"/>
        <w:gridCol w:w="109"/>
        <w:gridCol w:w="109"/>
        <w:gridCol w:w="109"/>
        <w:gridCol w:w="211"/>
        <w:gridCol w:w="736"/>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7650" w:type="dxa"/>
            <w:gridSpan w:val="30"/>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residential MBS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commercial MBS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residential MBS and CMOs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commercial MBS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 family real estate-backed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Non-mortgage 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5,155,726 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(304,426)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0"/>
        <w:gridCol w:w="296"/>
        <w:gridCol w:w="297"/>
        <w:gridCol w:w="211"/>
        <w:gridCol w:w="826"/>
        <w:gridCol w:w="109"/>
        <w:gridCol w:w="109"/>
        <w:gridCol w:w="109"/>
        <w:gridCol w:w="109"/>
        <w:gridCol w:w="214"/>
        <w:gridCol w:w="645"/>
        <w:gridCol w:w="110"/>
        <w:gridCol w:w="109"/>
        <w:gridCol w:w="109"/>
        <w:gridCol w:w="109"/>
        <w:gridCol w:w="211"/>
        <w:gridCol w:w="976"/>
        <w:gridCol w:w="109"/>
        <w:gridCol w:w="109"/>
        <w:gridCol w:w="109"/>
        <w:gridCol w:w="109"/>
        <w:gridCol w:w="212"/>
        <w:gridCol w:w="849"/>
        <w:gridCol w:w="109"/>
        <w:gridCol w:w="109"/>
        <w:gridCol w:w="109"/>
        <w:gridCol w:w="109"/>
        <w:gridCol w:w="211"/>
        <w:gridCol w:w="976"/>
        <w:gridCol w:w="109"/>
        <w:gridCol w:w="109"/>
        <w:gridCol w:w="109"/>
        <w:gridCol w:w="109"/>
        <w:gridCol w:w="212"/>
        <w:gridCol w:w="848"/>
        <w:gridCol w:w="160"/>
      </w:tblGrid>
      <w:tr>
        <w:trPr/>
        <w:tc>
          <w:tcPr>
            <w:tcW w:w="88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residential MBS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commercial MBS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residential MBS and CMOs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commercial MBS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(19,891)</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 family real estate-backed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Non-mortgage 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(293,851)</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48285"/>
                <wp:effectExtent l="0" t="0" r="0" b="0"/>
                <wp:wrapNone/>
                <wp:docPr id="15" name="Frame1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160" w:after="160"/>
        <w:ind w:left="0" w:right="0" w:firstLine="360"/>
        <w:jc w:val="left"/>
        <w:rPr/>
      </w:pPr>
      <w:r>
        <w:rPr>
          <w:rFonts w:ascii="Times New Roman;serif" w:hAnsi="Times New Roman;serif"/>
          <w:b w:val="false"/>
          <w:color w:val="000000"/>
          <w:sz w:val="20"/>
        </w:rPr>
        <w:t>The Company monitors its investment securities available for sale for credit loss impairment on an individual security basis. No securities were determined to be credit loss impaired during the three and six months ended</w:t>
      </w:r>
      <w:r>
        <w:rPr>
          <w:color w:val="000000"/>
        </w:rPr>
        <w:t xml:space="preserve"> </w:t>
      </w:r>
      <w:r>
        <w:rPr>
          <w:rFonts w:ascii="Times New Roman;serif" w:hAnsi="Times New Roman;serif"/>
          <w:b w:val="false"/>
          <w:color w:val="000000"/>
          <w:sz w:val="20"/>
        </w:rPr>
        <w:t>June 30, 2026 and 2025. At June 30, 2026, the Company did not have an intent to sell securities that were in significant unrealized loss positions, and it was not more likely than not that the Company would be required to sell these securities before recovery of the amortized cost basis, which may be at maturity. In making this determination, the Company considered its current and projected liquidity position including its ability to pledge securities to generate liquidity, its investment policy as to permissible holdings and concentration limits, regulatory requirements and other relevant factors.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June 30, 2026, 369 securities available for sale were in unrealized loss positions. The amount of unrealized losses related to 105 of these securities was considered insignificant both individually and in the aggregate, totaling approximately $0.9 million. No further analysis with respect to these securities was considered necessary. The basis for concluding that AFS securities were not credit loss impaired and no ACL was considered necessary at June 30, 2026, is further discussed below.</w:t>
      </w:r>
    </w:p>
    <w:p>
      <w:pPr>
        <w:pStyle w:val="TextBody"/>
        <w:bidi w:val="0"/>
        <w:spacing w:lineRule="auto" w:line="288" w:before="160" w:after="160"/>
        <w:ind w:left="0" w:right="0" w:firstLine="360"/>
        <w:jc w:val="left"/>
        <w:rPr/>
      </w:pPr>
      <w:r>
        <w:rPr>
          <w:rFonts w:ascii="Times New Roman;serif" w:hAnsi="Times New Roman;serif"/>
          <w:b w:val="false"/>
          <w:color w:val="000000"/>
          <w:sz w:val="20"/>
        </w:rPr>
        <w:t xml:space="preserve">Unrealized losses were primarily attributable to a sustained higher interest rate environment and in some cases, </w:t>
      </w:r>
      <w:r>
        <w:rPr>
          <w:rFonts w:ascii="Times New Roman;serif" w:hAnsi="Times New Roman;serif"/>
          <w:b w:val="false"/>
          <w:color w:val="000000"/>
          <w:sz w:val="20"/>
          <w:shd w:fill="FFFFFF" w:val="clear"/>
        </w:rPr>
        <w:t xml:space="preserve">wider spreads compared to levels at which securities were purchased. </w:t>
      </w:r>
      <w:r>
        <w:rPr>
          <w:rFonts w:ascii="Times New Roman;serif" w:hAnsi="Times New Roman;serif"/>
          <w:b w:val="false"/>
          <w:color w:val="000000"/>
          <w:sz w:val="20"/>
        </w:rPr>
        <w:t>The investment securities AFS portfolio was in a net unrealized loss position of $282.3 million at June 30, 2026, compared to $267.1 million at December 31, 2025, increasing by $15.2 million during the six months ended June 30, 2026. While the majority of securities in the portfolio were floating rate at June 30, 2026, fixed rate securities accounted for the majority of unrealized losses.</w:t>
      </w:r>
    </w:p>
    <w:p>
      <w:pPr>
        <w:pStyle w:val="TextBody"/>
        <w:bidi w:val="0"/>
        <w:spacing w:lineRule="auto" w:line="288" w:before="160" w:after="160"/>
        <w:ind w:left="0" w:right="0" w:firstLine="360"/>
        <w:jc w:val="left"/>
        <w:rPr>
          <w:rFonts w:ascii="Times New Roman;serif" w:hAnsi="Times New Roman;serif"/>
          <w:b/>
          <w:color w:val="000000"/>
          <w:sz w:val="20"/>
          <w:u w:val="single"/>
        </w:rPr>
      </w:pPr>
      <w:r>
        <w:rPr>
          <w:rFonts w:ascii="Times New Roman;serif" w:hAnsi="Times New Roman;serif"/>
          <w:b/>
          <w:color w:val="000000"/>
          <w:sz w:val="20"/>
          <w:u w:val="single"/>
        </w:rPr>
        <w:t>U.S. Government, U.S. Government Agency and Government Sponsored Enterprise Securities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June 30, 2026, 12 U.S. treasury, 44 U.S. Government agency and sponsored enterprise residential MBS, 27 U.S. Government agency and sponsored enterprise commercial MBS and 14 SBA securities were in unrealized loss positions. The timely payment of principal and interest on these securities is explicitly or implicitly guaranteed by the U.S. Government. As such, there is an assumption of zero credit loss, and the Company expects to recover the amortized cost basis of these securities.</w:t>
      </w:r>
    </w:p>
    <w:p>
      <w:pPr>
        <w:pStyle w:val="TextBody"/>
        <w:bidi w:val="0"/>
        <w:spacing w:lineRule="auto" w:line="288" w:before="160" w:after="160"/>
        <w:ind w:left="0" w:right="0" w:firstLine="360"/>
        <w:jc w:val="left"/>
        <w:rPr>
          <w:rFonts w:ascii="Times New Roman;serif" w:hAnsi="Times New Roman;serif"/>
          <w:b/>
          <w:color w:val="000000"/>
          <w:sz w:val="20"/>
          <w:u w:val="single"/>
        </w:rPr>
      </w:pPr>
      <w:r>
        <w:rPr>
          <w:rFonts w:ascii="Times New Roman;serif" w:hAnsi="Times New Roman;serif"/>
          <w:b/>
          <w:color w:val="000000"/>
          <w:sz w:val="20"/>
          <w:u w:val="single"/>
        </w:rPr>
        <w:t>Private Label Securities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 of the impaired private label securities had missed principal or interest payments or had been downgraded by a NRSRO at June 30, 2026. The Company performed an analysis comparing the present value of cash flows expected to be collected to the amortized cost basis of impaired securities. This analysis was based on a scenario that we believe to be generally more conservative than our reasonable and supportable economic forecast at June 30, 2026, and incorporated assumptions about voluntary prepayment rates, collateral defaults, delinquencies, severity and other relevant factors as described further below. Our analysis also considered the structural characteristics of each security and the level of credit enhancement provided by that structure.</w:t>
      </w:r>
    </w:p>
    <w:p>
      <w:pPr>
        <w:pStyle w:val="TextBody"/>
        <w:bidi w:val="0"/>
        <w:spacing w:lineRule="auto" w:line="288" w:before="24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Private label residential MBS and CMOs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June 30, 2026, 129 private label residential MBS and CMOs were in unrealized loss positions. Our analysis of cash flows expected to be collected on these securities incorporated assumptions about collateral default rates, voluntary prepayment rates, loss severity, delinquencies and recovery lag. In developing those assumptions, we took into account collateral quality measures such as FICO, LTV, documentation, loan type, property type, agency availability criteria and performing status. We also regularly monitor sector data including home price appreciation, forbearance, delinquency, special servicing and prepay trends as well as other economic data that could be indicative of stress in the sector. Underlying delinquencies in this sector remain low. Our June 30, 2026 analysis projected weighted average collateral losses for impaired securities in this category of 3.3% compared to weighted average credit support of 19.2%. As of June 30, 2026, 86% of impaired securities in this category, based on carrying value, were externally rated AAA, 3% were rated AA, 9% were rated A and one security was not externally rated.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48285"/>
                <wp:effectExtent l="0" t="0" r="0" b="0"/>
                <wp:wrapNone/>
                <wp:docPr id="16" name="Frame1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24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Private label commercial MBS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June 30, 2026, 17 private label commercial MBS were in unrealized loss positions. Our analysis of cash flows expected to be collected on these securities incorporated assumptions about collateral default rates, voluntary prepayment rates, loss severity, delinquencies and recovery lag. In developing those assumptions, we took into account collateral quality and type, loan size, loan purpose and other qualitative factors. We also regularly monitor collateral concentrations, collateral watch lists, bankruptcy data, defeasance data, special servicing trends, delinquency and other economic data that could be indicative of stress in the sector. We consider collateral, deal, sector and tranche level performance as well as maturity and refinance risk. While we have observed some deterioration in collateral performance in this segment, particularly in the office sector, the high credit quality of these securities and adequacy of subordination to cover projected collateral losses supports the conclusion that there is no credit loss impairment. Our June 30, 2026 analysis projected weighted average collateral losses for impaired securities in this category of 7.8% compared to weighted average credit support of 39.3%. As of June 30, 2026, 78% of impaired securities in this category, based on carrying value, were externally rated AAA, 2% were rated AA and 20% were rated A. There was no single-asset, single-borrower exposure.</w:t>
      </w:r>
    </w:p>
    <w:p>
      <w:pPr>
        <w:pStyle w:val="TextBody"/>
        <w:bidi w:val="0"/>
        <w:spacing w:lineRule="auto" w:line="288" w:before="24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Single family real estate-backed securities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five single family real estate-backed securities were in unrealized loss positions. Our analysis of cash flows expected to be collected on these securities incorporated assumptions about collateral default rates, loss severity, delinquencies and recovery lag. We regularly monitor sector data including home price appreciation, forbearance, delinquency and prepay trends as well as other economic data that could be indicative of stress in the sector. We consider collateral, deal, sector and tranche level performance as well as maturity and refinance risk. Our June 30, 2026 analysis projected weighted average collateral losses for this category of 6.2% compared to weighted average credit support of 60.6%. As of June 30, 2026, 54% of impaired securities in this category, based on carrying value, were externally rated AAA and 46% were rated AA. </w:t>
      </w:r>
    </w:p>
    <w:p>
      <w:pPr>
        <w:pStyle w:val="TextBody"/>
        <w:bidi w:val="0"/>
        <w:spacing w:lineRule="auto" w:line="288" w:before="24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Collateralized loan obligations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June 30, 2026, eight collateralized loan obligations were in unrealized loss positions. Unrealized losses totaled less than 1% of total amortized cost of this segment at June 30, 2026. Our analysis of cash flows expected to be collected on these securities incorporated assumptions about collateral default rates, loss severity, and delinquencies, calibrated to take into account idiosyncratic risks associated with the underlying collateral. In developing those assumptions, we took into account each sector’s performance pre-, during and post the 2008 financial crisis. We regularly engage with bond managers to monitor trends in underlying collateral including potential downgrades and subsequent cash flow diversions, liquidity, ratings migration, and any other relevant developments. The high credit quality of these securities and adequacy of subordination to cover projected collateral losses supports the conclusion that there is no credit loss impairment. Our June 30, 2026 analysis projected weighted average collateral losses for impaired securities in this category of 15.8% compared to weighted average credit support of 41%. As of June 30, 2026, 86% of the impaired securities in this category, based on carrying value, were externally rated AAA, and 14% were rated AA.</w:t>
      </w:r>
    </w:p>
    <w:p>
      <w:pPr>
        <w:pStyle w:val="TextBody"/>
        <w:bidi w:val="0"/>
        <w:spacing w:lineRule="auto" w:line="288" w:before="24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Non-mortgage asset-backed securities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June 30, 2026, three non-mortgage asset-backed securities were in unrealized loss positions. These securities are backed by student loan collateral. Our analysis of cash flows expected to be collected on these securities incorporated assumptions about collateral default rates, loss severity, delinquencies, voluntary prepayment rates and recovery lag. In developing assumptions, we took into account collateral type, delineated by whether collateral consisted of loans to borrowers in school, refinancing, or a mixture. Our June 30, 2026 analysis projected weighted average collateral losses for impaired securities in this category of 3.4% compared to weighted average credit support of 37.6%. As of June 30, 2026, 20% of the impaired securities in this category, based on carrying value, were externally rated AAA, and 80% were rated AA.</w:t>
      </w:r>
    </w:p>
    <w:p>
      <w:pPr>
        <w:pStyle w:val="TextBody"/>
        <w:bidi w:val="0"/>
        <w:spacing w:lineRule="auto" w:line="288" w:before="160" w:after="160"/>
        <w:ind w:left="0" w:right="0" w:firstLine="360"/>
        <w:jc w:val="left"/>
        <w:rPr>
          <w:rFonts w:ascii="Times New Roman;serif" w:hAnsi="Times New Roman;serif"/>
          <w:b/>
          <w:color w:val="000000"/>
          <w:sz w:val="20"/>
          <w:u w:val="single"/>
        </w:rPr>
      </w:pPr>
      <w:r>
        <w:rPr>
          <w:rFonts w:ascii="Times New Roman;serif" w:hAnsi="Times New Roman;serif"/>
          <w:b/>
          <w:color w:val="000000"/>
          <w:sz w:val="20"/>
          <w:u w:val="single"/>
        </w:rPr>
        <w:t>State and Municipal Obligations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June 30, 2026, five state and municipal obligations were in unrealized loss positions. Our analysis of potential credit loss impairment for these securities incorporates a comprehensive analysis and quantitative score of the underlying obligor's credit worthiness provided by a third-party vendor as well as other relevant qualitative considerations. As of June 30, 2026, 8% of the impaired securities in this category, based on carrying value, were externally rated AAA, and 92% were rated AA.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48285"/>
                <wp:effectExtent l="0" t="0" r="0" b="0"/>
                <wp:wrapNone/>
                <wp:docPr id="17" name="Frame1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4    Loans and Allowance for Credit Losses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Loans consisted of the following at the dates indicated (dollars in thousands):</w:t>
      </w:r>
    </w:p>
    <w:tbl>
      <w:tblPr>
        <w:tblW w:w="10205" w:type="dxa"/>
        <w:jc w:val="left"/>
        <w:tblInd w:w="0" w:type="dxa"/>
        <w:tblLayout w:type="fixed"/>
        <w:tblCellMar>
          <w:top w:w="28" w:type="dxa"/>
          <w:left w:w="28" w:type="dxa"/>
          <w:bottom w:w="28" w:type="dxa"/>
          <w:right w:w="28" w:type="dxa"/>
        </w:tblCellMar>
      </w:tblPr>
      <w:tblGrid>
        <w:gridCol w:w="1150"/>
        <w:gridCol w:w="1001"/>
        <w:gridCol w:w="1004"/>
        <w:gridCol w:w="211"/>
        <w:gridCol w:w="1081"/>
        <w:gridCol w:w="109"/>
        <w:gridCol w:w="109"/>
        <w:gridCol w:w="109"/>
        <w:gridCol w:w="109"/>
        <w:gridCol w:w="393"/>
        <w:gridCol w:w="358"/>
        <w:gridCol w:w="857"/>
        <w:gridCol w:w="109"/>
        <w:gridCol w:w="109"/>
        <w:gridCol w:w="109"/>
        <w:gridCol w:w="211"/>
        <w:gridCol w:w="1081"/>
        <w:gridCol w:w="109"/>
        <w:gridCol w:w="109"/>
        <w:gridCol w:w="109"/>
        <w:gridCol w:w="109"/>
        <w:gridCol w:w="370"/>
        <w:gridCol w:w="344"/>
        <w:gridCol w:w="945"/>
      </w:tblGrid>
      <w:tr>
        <w:trPr/>
        <w:tc>
          <w:tcPr>
            <w:tcW w:w="115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5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714" w:type="dxa"/>
            <w:gridSpan w:val="12"/>
            <w:tcBorders/>
          </w:tcPr>
          <w:p>
            <w:pPr>
              <w:pStyle w:val="TableContents"/>
              <w:bidi w:val="0"/>
              <w:spacing w:before="0" w:after="283"/>
              <w:jc w:val="left"/>
              <w:rPr>
                <w:sz w:val="4"/>
                <w:szCs w:val="4"/>
              </w:rPr>
            </w:pPr>
            <w:r>
              <w:rPr>
                <w:sz w:val="4"/>
                <w:szCs w:val="4"/>
              </w:rPr>
            </w:r>
          </w:p>
        </w:tc>
      </w:tr>
      <w:tr>
        <w:trPr/>
        <w:tc>
          <w:tcPr>
            <w:tcW w:w="3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 of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 of Total Loans</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 commercial real estate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 commercial real estate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Pinnacle - municipal finance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Franchise and equipment finance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warehouse lending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17,273,523 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17,290,707 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 single family residential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insured residential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23,929,073 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23,711,557 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24,053,882 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Premiums, discounts and deferred fees and costs, excluding the non-credit related discount on PCD loans, totaled $21 million and $22 million at June 30, 2026 and December 31, 2025, respectively. The amortized cost of PCD loans totaled $29 million and $32 million at June 30, 2026 and December 31, 2025, respectively.</w:t>
      </w:r>
    </w:p>
    <w:p>
      <w:pPr>
        <w:pStyle w:val="TextBody"/>
        <w:bidi w:val="0"/>
        <w:spacing w:lineRule="auto" w:line="288" w:before="160" w:after="160"/>
        <w:ind w:left="0" w:right="0" w:firstLine="360"/>
        <w:jc w:val="left"/>
        <w:rPr/>
      </w:pPr>
      <w:r>
        <w:rPr>
          <w:rFonts w:ascii="Times New Roman;serif" w:hAnsi="Times New Roman;serif"/>
          <w:b w:val="false"/>
          <w:color w:val="000000"/>
          <w:sz w:val="20"/>
        </w:rPr>
        <w:t>Included in loans, net are direct or sales type finance leases totaling $405 million and $381 million at June 30, 2026 and December 31, 2025, respectively. The amount of income recognized from direct or sales type finance leases for the three and six months ended</w:t>
      </w:r>
      <w:r>
        <w:rPr>
          <w:color w:val="000000"/>
        </w:rPr>
        <w:t xml:space="preserve"> </w:t>
      </w:r>
      <w:r>
        <w:rPr>
          <w:rFonts w:ascii="Times New Roman;serif" w:hAnsi="Times New Roman;serif"/>
          <w:b w:val="false"/>
          <w:color w:val="000000"/>
          <w:sz w:val="20"/>
        </w:rPr>
        <w:t>June 30, 2026 and 2025 totaled $2.5 million, $4.9 million, $2.9 million and $5.7 million, respectively, and is included in interest income on loans in the consolidated statements of income.</w:t>
      </w:r>
    </w:p>
    <w:p>
      <w:pPr>
        <w:pStyle w:val="TextBody"/>
        <w:bidi w:val="0"/>
        <w:spacing w:lineRule="auto" w:line="288" w:before="160" w:after="160"/>
        <w:ind w:left="0" w:right="0" w:firstLine="360"/>
        <w:jc w:val="left"/>
        <w:rPr/>
      </w:pPr>
      <w:r>
        <w:rPr>
          <w:rFonts w:ascii="Times New Roman;serif" w:hAnsi="Times New Roman;serif"/>
          <w:b w:val="false"/>
          <w:color w:val="000000"/>
          <w:sz w:val="20"/>
        </w:rPr>
        <w:t>During the three and six months ended</w:t>
      </w:r>
      <w:r>
        <w:rPr>
          <w:color w:val="000000"/>
        </w:rPr>
        <w:t xml:space="preserve"> </w:t>
      </w:r>
      <w:r>
        <w:rPr>
          <w:rFonts w:ascii="Times New Roman;serif" w:hAnsi="Times New Roman;serif"/>
          <w:b w:val="false"/>
          <w:color w:val="000000"/>
          <w:sz w:val="20"/>
        </w:rPr>
        <w:t>June 30, 2026 and 2025, the Company purchased residential loans totaling $82 million, $139 million, $89 million, and $185 million, respectively.</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 had pledged loans with a carrying value of approximately $15.4 billion and $15.6 billion, respectively, as security for FHLB advances and FHLB and Federal Reserve discount window capacity.</w:t>
      </w:r>
    </w:p>
    <w:p>
      <w:pPr>
        <w:pStyle w:val="TextBody"/>
        <w:bidi w:val="0"/>
        <w:spacing w:lineRule="auto" w:line="288" w:before="180" w:after="283"/>
        <w:ind w:left="0" w:right="0" w:firstLine="360"/>
        <w:jc w:val="both"/>
        <w:rPr/>
      </w:pPr>
      <w:r>
        <w:rPr>
          <w:rFonts w:ascii="Times New Roman;serif" w:hAnsi="Times New Roman;serif"/>
          <w:b w:val="false"/>
          <w:color w:val="000000"/>
          <w:sz w:val="20"/>
        </w:rPr>
        <w:t>Accrued interest receivable on loans totaled $111 million and $113 million at June 30, 2026 and December 31, 2025, respectively, and is included in other assets in the accompanying consolidated balance sheets. The amount of interest income reversed on non-accrual loans was not material for the three and six months ended</w:t>
      </w:r>
      <w:r>
        <w:rPr>
          <w:color w:val="000000"/>
        </w:rPr>
        <w:t xml:space="preserve"> </w:t>
      </w:r>
      <w:r>
        <w:rPr>
          <w:rFonts w:ascii="Times New Roman;serif" w:hAnsi="Times New Roman;serif"/>
          <w:b w:val="false"/>
          <w:color w:val="000000"/>
          <w:sz w:val="20"/>
        </w:rPr>
        <w:t>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48285"/>
                <wp:effectExtent l="0" t="0" r="0" b="0"/>
                <wp:wrapNone/>
                <wp:docPr id="18" name="Frame1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180" w:after="160"/>
        <w:jc w:val="both"/>
        <w:rPr>
          <w:rFonts w:ascii="Times New Roman;serif" w:hAnsi="Times New Roman;serif"/>
          <w:b/>
          <w:color w:val="000000"/>
          <w:sz w:val="20"/>
        </w:rPr>
      </w:pPr>
      <w:r>
        <w:rPr>
          <w:rFonts w:ascii="Times New Roman;serif" w:hAnsi="Times New Roman;serif"/>
          <w:b/>
          <w:color w:val="000000"/>
          <w:sz w:val="20"/>
        </w:rPr>
        <w:t>Allowance for credit losses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Activity in the ACL is summarized below for the periods indicated (in thousands):</w:t>
      </w:r>
    </w:p>
    <w:tbl>
      <w:tblPr>
        <w:tblW w:w="10205" w:type="dxa"/>
        <w:jc w:val="left"/>
        <w:tblInd w:w="0" w:type="dxa"/>
        <w:tblLayout w:type="fixed"/>
        <w:tblCellMar>
          <w:top w:w="28" w:type="dxa"/>
          <w:left w:w="28" w:type="dxa"/>
          <w:bottom w:w="28" w:type="dxa"/>
          <w:right w:w="28" w:type="dxa"/>
        </w:tblCellMar>
      </w:tblPr>
      <w:tblGrid>
        <w:gridCol w:w="474"/>
        <w:gridCol w:w="363"/>
        <w:gridCol w:w="366"/>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109"/>
        <w:gridCol w:w="109"/>
        <w:gridCol w:w="156"/>
      </w:tblGrid>
      <w:tr>
        <w:trPr/>
        <w:tc>
          <w:tcPr>
            <w:tcW w:w="47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701" w:type="dxa"/>
            <w:gridSpan w:val="6"/>
            <w:tcBorders/>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(recovery)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56" w:type="dxa"/>
            <w:gridSpan w:val="36"/>
            <w:tcBorders/>
          </w:tcPr>
          <w:p>
            <w:pPr>
              <w:pStyle w:val="TableContents"/>
              <w:bidi w:val="0"/>
              <w:spacing w:before="0" w:after="283"/>
              <w:jc w:val="left"/>
              <w:rPr>
                <w:sz w:val="4"/>
                <w:szCs w:val="4"/>
              </w:rPr>
            </w:pPr>
            <w:r>
              <w:rPr>
                <w:sz w:val="4"/>
                <w:szCs w:val="4"/>
              </w:rPr>
            </w:r>
          </w:p>
        </w:tc>
      </w:tr>
      <w:tr>
        <w:trPr/>
        <w:tc>
          <w:tcPr>
            <w:tcW w:w="12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015" w:type="dxa"/>
            <w:gridSpan w:val="24"/>
            <w:tcBorders/>
          </w:tcPr>
          <w:p>
            <w:pPr>
              <w:pStyle w:val="TableContents"/>
              <w:bidi w:val="0"/>
              <w:spacing w:before="0" w:after="283"/>
              <w:jc w:val="left"/>
              <w:rPr>
                <w:sz w:val="4"/>
                <w:szCs w:val="4"/>
              </w:rPr>
            </w:pPr>
            <w:r>
              <w:rPr>
                <w:sz w:val="4"/>
                <w:szCs w:val="4"/>
              </w:rPr>
            </w:r>
          </w:p>
        </w:tc>
      </w:tr>
      <w:tr>
        <w:trPr/>
        <w:tc>
          <w:tcPr>
            <w:tcW w:w="12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74"/>
        <w:gridCol w:w="363"/>
        <w:gridCol w:w="366"/>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109"/>
        <w:gridCol w:w="109"/>
        <w:gridCol w:w="156"/>
      </w:tblGrid>
      <w:tr>
        <w:trPr/>
        <w:tc>
          <w:tcPr>
            <w:tcW w:w="47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701" w:type="dxa"/>
            <w:gridSpan w:val="6"/>
            <w:tcBorders/>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(recovery)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ACL was determined utilizing a 2-year reasonable and supportable forecast period. The quantitative portion of the ACL was determined by weighting three third-party provided economic scenarios.</w:t>
      </w:r>
    </w:p>
    <w:p>
      <w:pPr>
        <w:pStyle w:val="TextBody"/>
        <w:bidi w:val="0"/>
        <w:spacing w:lineRule="auto" w:line="288" w:before="160" w:after="160"/>
        <w:ind w:left="0" w:right="0" w:firstLine="360"/>
        <w:jc w:val="left"/>
        <w:rPr/>
      </w:pPr>
      <w:r>
        <w:rPr>
          <w:rFonts w:ascii="Times New Roman;serif" w:hAnsi="Times New Roman;serif"/>
          <w:b w:val="false"/>
          <w:color w:val="000000"/>
          <w:sz w:val="20"/>
        </w:rPr>
        <w:t xml:space="preserve">The ACL was 0.91% of total loans at both </w:t>
      </w:r>
      <w:r>
        <w:rPr>
          <w:rFonts w:ascii="Times New Roman;serif" w:hAnsi="Times New Roman;serif"/>
          <w:b w:val="false"/>
          <w:color w:val="000000"/>
          <w:sz w:val="18"/>
        </w:rPr>
        <w:t>June 30, 2026</w:t>
      </w:r>
      <w:r>
        <w:rPr>
          <w:color w:val="000000"/>
        </w:rPr>
        <w:t xml:space="preserve"> </w:t>
      </w:r>
      <w:r>
        <w:rPr>
          <w:rFonts w:ascii="Times New Roman;serif" w:hAnsi="Times New Roman;serif"/>
          <w:b w:val="false"/>
          <w:color w:val="000000"/>
          <w:sz w:val="20"/>
        </w:rPr>
        <w:t>and December 31, 2025. The most significant factors impacting the ACL for the six months ended June 30, 2026 were net charge-offs, partially offset by higher specific reserves. The ACL was also impacted, although to a lesser extent, by increases related to (i) changes in the economic forecast, (ii) a net increase in certain qualitative factors, (iii) risk rating migration, and decreases related to (iv) changes in portfolio composition, (v) improvements in borrower financial performance, and (vi) routine modeling and assumption updates.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gross charge-offs during the six months ended June 30, 2026 by year of origination (in thousands):</w:t>
      </w:r>
    </w:p>
    <w:tbl>
      <w:tblPr>
        <w:tblW w:w="10205" w:type="dxa"/>
        <w:jc w:val="left"/>
        <w:tblInd w:w="0" w:type="dxa"/>
        <w:tblLayout w:type="fixed"/>
        <w:tblCellMar>
          <w:top w:w="28" w:type="dxa"/>
          <w:left w:w="28" w:type="dxa"/>
          <w:bottom w:w="28" w:type="dxa"/>
          <w:right w:w="28" w:type="dxa"/>
        </w:tblCellMar>
      </w:tblPr>
      <w:tblGrid>
        <w:gridCol w:w="185"/>
        <w:gridCol w:w="162"/>
        <w:gridCol w:w="164"/>
        <w:gridCol w:w="211"/>
        <w:gridCol w:w="466"/>
        <w:gridCol w:w="109"/>
        <w:gridCol w:w="109"/>
        <w:gridCol w:w="109"/>
        <w:gridCol w:w="109"/>
        <w:gridCol w:w="211"/>
        <w:gridCol w:w="46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09"/>
        <w:gridCol w:w="109"/>
        <w:gridCol w:w="109"/>
        <w:gridCol w:w="109"/>
        <w:gridCol w:w="215"/>
        <w:gridCol w:w="628"/>
        <w:gridCol w:w="111"/>
        <w:gridCol w:w="109"/>
        <w:gridCol w:w="109"/>
        <w:gridCol w:w="109"/>
        <w:gridCol w:w="221"/>
        <w:gridCol w:w="647"/>
        <w:gridCol w:w="114"/>
        <w:gridCol w:w="109"/>
        <w:gridCol w:w="109"/>
        <w:gridCol w:w="109"/>
        <w:gridCol w:w="211"/>
        <w:gridCol w:w="721"/>
        <w:gridCol w:w="157"/>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4" w:type="dxa"/>
            <w:gridSpan w:val="4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 Charge-offs By Loan Origination Year</w:t>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 to 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provision for credit losses for the periods indicated (in thousands):</w:t>
      </w:r>
    </w:p>
    <w:tbl>
      <w:tblPr>
        <w:tblW w:w="9788" w:type="dxa"/>
        <w:jc w:val="center"/>
        <w:tblInd w:w="0" w:type="dxa"/>
        <w:tblLayout w:type="fixed"/>
        <w:tblCellMar>
          <w:top w:w="28" w:type="dxa"/>
          <w:left w:w="28" w:type="dxa"/>
          <w:bottom w:w="28" w:type="dxa"/>
          <w:right w:w="28" w:type="dxa"/>
        </w:tblCellMar>
      </w:tblPr>
      <w:tblGrid>
        <w:gridCol w:w="1587"/>
        <w:gridCol w:w="1391"/>
        <w:gridCol w:w="140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related to funded portion of loans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related to off-balance sheet credit exposures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credit losses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48285"/>
                <wp:effectExtent l="0" t="0" r="0" b="0"/>
                <wp:wrapNone/>
                <wp:docPr id="19" name="Frame1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Credit quality information</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Credit quality of loans held for investment is continuously monitored by dedicated commercial portfolio management and residential credit risk management functions. The Company also has a workout and recovery department that monitors the credit quality of criticized and classified loans and an independent internal credit review function.</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quality indicators for commercial loans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Factors that impact risk inherent in commercial portfolio segments include but are not limited to levels of economic activity or potential disruptions in economic activity, health of the national, regional and to a lesser extent global economies, interest rates, industry trends, demographic trends, inflationary trends, including particularly for commercial real estate loans the cost of insurance, patterns of and trends in customer behavior that influence demand for our borrowers' products and services, and commercial real estate values and related market dynamics. Particularly for the office sector, the evolving impact of hybrid and remote work on vacancies and valuations is a factor. Internal risk ratings are considered the most meaningful indicator of credit quality for commercial loans. Internal risk ratings are one indicator of the likelihood that a borrower will default, are a key factor influencing the level and nature of ongoing monitoring of loans and may impact the estimation of the ACL. Internal risk ratings are updated on a continuous basis. Generally, relationships with balances greater than $3 million are re-evaluated at least annually and more frequently if circumstances indicate that a change in risk rating may be warranted. The special mention rating is considered a transitional rating for loans exhibiting potential credit weaknesses that could result in deterioration of repayment prospects at some future date if not checked or corrected and that deserve management’s close attention. These borrowers may exhibit declining cash flows or revenues or increasing leverage. Loans with well-defined credit weaknesses that may result in a loss if the deficiencies are not corrected are assigned a risk rating of substandard. These borrowers may exhibit payment defaults, inadequate cash flows from current operations, operating losses, increasing balance sheet leverage, project cost overruns, unreasonable construction delays, exhausted interest reserves, declining collateral values, frequent overdrafts or past due real estate taxes. Loans with weaknesses so severe that collection in full is highly questionable or improbable, but because of certain reasonably specific pending factors have not been charged off, are assigned an internal risk rating of doubtful. </w:t>
      </w:r>
    </w:p>
    <w:p>
      <w:pPr>
        <w:pStyle w:val="TextBody"/>
        <w:bidi w:val="0"/>
        <w:spacing w:lineRule="auto" w:line="288" w:before="16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Commercial credit exposure based on internal risk rating (in thousands):</w:t>
      </w:r>
    </w:p>
    <w:tbl>
      <w:tblPr>
        <w:tblW w:w="12313" w:type="dxa"/>
        <w:jc w:val="left"/>
        <w:tblInd w:w="0" w:type="dxa"/>
        <w:tblLayout w:type="fixed"/>
        <w:tblCellMar>
          <w:top w:w="28" w:type="dxa"/>
          <w:left w:w="28" w:type="dxa"/>
          <w:bottom w:w="28" w:type="dxa"/>
          <w:right w:w="28" w:type="dxa"/>
        </w:tblCellMar>
      </w:tblPr>
      <w:tblGrid>
        <w:gridCol w:w="445"/>
        <w:gridCol w:w="308"/>
        <w:gridCol w:w="223"/>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Amortized Cost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Revolving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6,525,611 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7,006,901 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C&amp;I</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8,107,093 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C&amp;I</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2,642,176 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8,681,166 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Pinnacle - municipal finance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Pinnacle - municipal finance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636,945 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Franchise and equipment finance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Franchise and equipment finance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warehouse lending</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Mortgage warehouse lending</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876,771 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48285"/>
                <wp:effectExtent l="0" t="0" r="0" b="0"/>
                <wp:wrapNone/>
                <wp:docPr id="20" name="Frame2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tbl>
      <w:tblPr>
        <w:tblW w:w="12313" w:type="dxa"/>
        <w:jc w:val="left"/>
        <w:tblInd w:w="0" w:type="dxa"/>
        <w:tblLayout w:type="fixed"/>
        <w:tblCellMar>
          <w:top w:w="28" w:type="dxa"/>
          <w:left w:w="28" w:type="dxa"/>
          <w:bottom w:w="28" w:type="dxa"/>
          <w:right w:w="28" w:type="dxa"/>
        </w:tblCellMar>
      </w:tblPr>
      <w:tblGrid>
        <w:gridCol w:w="445"/>
        <w:gridCol w:w="308"/>
        <w:gridCol w:w="223"/>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Amortized Cost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Revolving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1,836,664 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6,145,173 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1,871,387 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6,810,871 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C&amp;I</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1,693,466 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8,513,327 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C&amp;I</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2,954,310 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9,029,475 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Pinnacle - municipal finance</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Pinnacle - municipal finance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619,374 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Franchise and equipment finance</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Franchise and equipment finance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warehouse lending</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Mortgage warehouse lending</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balance of revolving loans converted to term loans was immaterial.</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criticized and classified commercial loans in aggregate by risk rating category at the dates indicated (in thousands):</w:t>
      </w:r>
    </w:p>
    <w:tbl>
      <w:tblPr>
        <w:tblW w:w="6176" w:type="dxa"/>
        <w:jc w:val="left"/>
        <w:tblInd w:w="0" w:type="dxa"/>
        <w:tblLayout w:type="fixed"/>
        <w:tblCellMar>
          <w:top w:w="28" w:type="dxa"/>
          <w:left w:w="28" w:type="dxa"/>
          <w:bottom w:w="28" w:type="dxa"/>
          <w:right w:w="28" w:type="dxa"/>
        </w:tblCellMar>
      </w:tblPr>
      <w:tblGrid>
        <w:gridCol w:w="851"/>
        <w:gridCol w:w="749"/>
        <w:gridCol w:w="754"/>
        <w:gridCol w:w="211"/>
        <w:gridCol w:w="976"/>
        <w:gridCol w:w="109"/>
        <w:gridCol w:w="109"/>
        <w:gridCol w:w="109"/>
        <w:gridCol w:w="109"/>
        <w:gridCol w:w="109"/>
        <w:gridCol w:w="109"/>
        <w:gridCol w:w="244"/>
        <w:gridCol w:w="1130"/>
        <w:gridCol w:w="126"/>
        <w:gridCol w:w="109"/>
        <w:gridCol w:w="109"/>
        <w:gridCol w:w="109"/>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mention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Substandard - accruing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Substandard - non-accruing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Doubtful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1,198,527 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quality indicators for residential loans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considers delinquency status to be the most meaningful indicator of the credit quality of residential loans, other than government insured residential loans. Delinquency status is updated at least monthly. LTV and FICO scores are also important indicators of credit quality for 1-4 single family residential loans other than government insured loans. FICO scores are generally updated semi-annually and were most recently updated in the first quarter of 2026. LTVs are typically at origination. Substantially all of the government insured residential loans are government insured Buyout Loans, which the Company buys out of GNMA securitizations upon default. For these loans, traditional measures of credit quality are not particularly relevant considering the guaranteed nature of the loans and the underlying business model. Factors that impact risk inherent in the residential portfolio segment include national and regional economic conditions such as levels of unemployment, wages and interest rates, as well as residential property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48285"/>
                <wp:effectExtent l="0" t="0" r="0" b="0"/>
                <wp:wrapNone/>
                <wp:docPr id="21" name="Frame2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1-4 Single Family Residential credit exposure, excluding government insured residential loans, based on delinquency status (in thousands):</w:t>
      </w:r>
    </w:p>
    <w:tbl>
      <w:tblPr>
        <w:tblW w:w="10390" w:type="dxa"/>
        <w:jc w:val="center"/>
        <w:tblInd w:w="0" w:type="dxa"/>
        <w:tblLayout w:type="fixed"/>
        <w:tblCellMar>
          <w:top w:w="28" w:type="dxa"/>
          <w:left w:w="28" w:type="dxa"/>
          <w:bottom w:w="28" w:type="dxa"/>
          <w:right w:w="28" w:type="dxa"/>
        </w:tblCellMar>
      </w:tblPr>
      <w:tblGrid>
        <w:gridCol w:w="526"/>
        <w:gridCol w:w="226"/>
        <w:gridCol w:w="164"/>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Days Past Due</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4,205,607 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5,742,182 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30 - 59 Days Past Due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60 - 89 Days Past Due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90 Days or More Past Due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5,807,912 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615" w:type="dxa"/>
        <w:jc w:val="center"/>
        <w:tblInd w:w="0" w:type="dxa"/>
        <w:tblLayout w:type="fixed"/>
        <w:tblCellMar>
          <w:top w:w="28" w:type="dxa"/>
          <w:left w:w="28" w:type="dxa"/>
          <w:bottom w:w="28" w:type="dxa"/>
          <w:right w:w="28" w:type="dxa"/>
        </w:tblCellMar>
      </w:tblPr>
      <w:tblGrid>
        <w:gridCol w:w="526"/>
        <w:gridCol w:w="226"/>
        <w:gridCol w:w="164"/>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Days Past Due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6,021,772 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30 - 59 Days Past Due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60 - 89 Days Past Due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90 Days or More Past Due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6,091,959 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1-4 Single Family Residential credit exposure, excluding government insured residential loans, based on LTV (in thousands): </w:t>
      </w:r>
    </w:p>
    <w:tbl>
      <w:tblPr>
        <w:tblW w:w="10205" w:type="dxa"/>
        <w:jc w:val="center"/>
        <w:tblInd w:w="0" w:type="dxa"/>
        <w:tblLayout w:type="fixed"/>
        <w:tblCellMar>
          <w:top w:w="28" w:type="dxa"/>
          <w:left w:w="28" w:type="dxa"/>
          <w:bottom w:w="28" w:type="dxa"/>
          <w:right w:w="28" w:type="dxa"/>
        </w:tblCellMar>
      </w:tblPr>
      <w:tblGrid>
        <w:gridCol w:w="270"/>
        <w:gridCol w:w="229"/>
        <w:gridCol w:w="230"/>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6"/>
      </w:tblGrid>
      <w:tr>
        <w:trPr/>
        <w:tc>
          <w:tcPr>
            <w:tcW w:w="2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LTV</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than 61%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1,905,072 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61% - 70%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71% - 80%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2,256,709 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More than 80%</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5,807,912 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10" w:type="dxa"/>
        <w:jc w:val="center"/>
        <w:tblInd w:w="0" w:type="dxa"/>
        <w:tblLayout w:type="fixed"/>
        <w:tblCellMar>
          <w:top w:w="28" w:type="dxa"/>
          <w:left w:w="28" w:type="dxa"/>
          <w:bottom w:w="28" w:type="dxa"/>
          <w:right w:w="28" w:type="dxa"/>
        </w:tblCellMar>
      </w:tblPr>
      <w:tblGrid>
        <w:gridCol w:w="194"/>
        <w:gridCol w:w="158"/>
        <w:gridCol w:w="15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LTV</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than 61%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2,010,348 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61% - 70%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71% - 80%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More than 80%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6,091,959 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1-4 Single Family Residential credit exposure, excluding government insured residential loans, based on FICO score (in thousands):</w:t>
      </w:r>
    </w:p>
    <w:tbl>
      <w:tblPr>
        <w:tblW w:w="10210" w:type="dxa"/>
        <w:jc w:val="center"/>
        <w:tblInd w:w="0" w:type="dxa"/>
        <w:tblLayout w:type="fixed"/>
        <w:tblCellMar>
          <w:top w:w="28" w:type="dxa"/>
          <w:left w:w="28" w:type="dxa"/>
          <w:bottom w:w="28" w:type="dxa"/>
          <w:right w:w="28" w:type="dxa"/>
        </w:tblCellMar>
      </w:tblPr>
      <w:tblGrid>
        <w:gridCol w:w="352"/>
        <w:gridCol w:w="190"/>
        <w:gridCol w:w="194"/>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FICO</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760 or greater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3,276,812 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4,387,905 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720 - 759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719 or less or not available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5,807,912 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48285"/>
                <wp:effectExtent l="0" t="0" r="0" b="0"/>
                <wp:wrapNone/>
                <wp:docPr id="22" name="Frame2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tbl>
      <w:tblPr>
        <w:tblW w:w="10435" w:type="dxa"/>
        <w:jc w:val="center"/>
        <w:tblInd w:w="0" w:type="dxa"/>
        <w:tblLayout w:type="fixed"/>
        <w:tblCellMar>
          <w:top w:w="28" w:type="dxa"/>
          <w:left w:w="28" w:type="dxa"/>
          <w:bottom w:w="28" w:type="dxa"/>
          <w:right w:w="28" w:type="dxa"/>
        </w:tblCellMar>
      </w:tblPr>
      <w:tblGrid>
        <w:gridCol w:w="352"/>
        <w:gridCol w:w="190"/>
        <w:gridCol w:w="194"/>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FICO</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760 or greater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720 - 759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719 or less or not available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2,567,024 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6,091,959 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Past Due and Non-Accrual Loans</w:t>
      </w:r>
    </w:p>
    <w:p>
      <w:pPr>
        <w:pStyle w:val="TextBody"/>
        <w:bidi w:val="0"/>
        <w:spacing w:lineRule="auto" w:line="417" w:before="14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an aging of loans at the dates indicated (in thousands):</w:t>
      </w:r>
    </w:p>
    <w:tbl>
      <w:tblPr>
        <w:tblW w:w="15109" w:type="dxa"/>
        <w:jc w:val="left"/>
        <w:tblInd w:w="0" w:type="dxa"/>
        <w:tblLayout w:type="fixed"/>
        <w:tblCellMar>
          <w:top w:w="28" w:type="dxa"/>
          <w:left w:w="28" w:type="dxa"/>
          <w:bottom w:w="28" w:type="dxa"/>
          <w:right w:w="28" w:type="dxa"/>
        </w:tblCellMar>
      </w:tblPr>
      <w:tblGrid>
        <w:gridCol w:w="406"/>
        <w:gridCol w:w="289"/>
        <w:gridCol w:w="296"/>
        <w:gridCol w:w="196"/>
        <w:gridCol w:w="961"/>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961"/>
        <w:gridCol w:w="109"/>
        <w:gridCol w:w="109"/>
        <w:gridCol w:w="109"/>
        <w:gridCol w:w="109"/>
        <w:gridCol w:w="196"/>
        <w:gridCol w:w="961"/>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961"/>
        <w:gridCol w:w="154"/>
      </w:tblGrid>
      <w:tr>
        <w:trPr/>
        <w:tc>
          <w:tcPr>
            <w:tcW w:w="40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484" w:type="dxa"/>
            <w:gridSpan w:val="48"/>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30 - 59</w:t>
              <w:br/>
              <w:t>Days Past</w:t>
              <w:br/>
              <w:t>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60 - 89</w:t>
              <w:br/>
              <w:t>Days Past</w:t>
              <w:br/>
              <w:t>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90 Days or</w:t>
              <w:br/>
              <w:t>More Past</w:t>
              <w:br/>
              <w:t>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Total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30 - 59</w:t>
              <w:br/>
              <w:t>Days Past</w:t>
              <w:br/>
              <w:t>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60 - 89</w:t>
              <w:br/>
              <w:t>Days Past</w:t>
              <w:br/>
              <w:t>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90 Days or</w:t>
              <w:br/>
              <w:t>More Past</w:t>
              <w:br/>
              <w:t>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color w:val="000000"/>
                <w:sz w:val="14"/>
              </w:rPr>
            </w:pPr>
            <w:r>
              <w:rPr>
                <w:rFonts w:ascii="Times New Roman;serif" w:hAnsi="Times New Roman;serif"/>
                <w:b/>
                <w:color w:val="000000"/>
                <w:sz w:val="14"/>
              </w:rPr>
              <w:t>Total Amortized Cost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7,006,901 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6,768,897 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6,810,871 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C&amp;I</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8,893,254 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9,029,475 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Pinnacle - municipal finance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Franchise and equipment finance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Mortgage warehouse lending</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728,241 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1-4 single family residential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5,807,912 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6,091,959 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Government insured residential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23,485,731 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23,929,073 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23,738,618 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284,459 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24,273,707 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Included in the table above is the guaranteed portion of SBA loans past due by 90 days or more totaling $31 million ($25 million of C&amp;I and $6 million of CRE) and $34 million at June 30, 2026 and December 31, 2025, respectively.</w:t>
      </w:r>
    </w:p>
    <w:p>
      <w:pPr>
        <w:pStyle w:val="TextBody"/>
        <w:bidi w:val="0"/>
        <w:spacing w:lineRule="auto" w:line="288" w:before="16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Loans contractually delinquent by 90 days or more and still accruing totaled $176 million and $159 million at June 30, 2026 and December 31, 2025, respectively, substantially all of which were government insured residential loans. These loans are Buyout Loans, which the Company buys out of GNMA securitizations upon default.</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loans on non-accrual status at the dates indicated (in thousands):</w:t>
      </w:r>
    </w:p>
    <w:tbl>
      <w:tblPr>
        <w:tblW w:w="10205" w:type="dxa"/>
        <w:jc w:val="center"/>
        <w:tblInd w:w="0" w:type="dxa"/>
        <w:tblLayout w:type="fixed"/>
        <w:tblCellMar>
          <w:top w:w="28" w:type="dxa"/>
          <w:left w:w="28" w:type="dxa"/>
          <w:bottom w:w="28" w:type="dxa"/>
          <w:right w:w="28" w:type="dxa"/>
        </w:tblCellMar>
      </w:tblPr>
      <w:tblGrid>
        <w:gridCol w:w="736"/>
        <w:gridCol w:w="645"/>
        <w:gridCol w:w="656"/>
        <w:gridCol w:w="221"/>
        <w:gridCol w:w="867"/>
        <w:gridCol w:w="114"/>
        <w:gridCol w:w="109"/>
        <w:gridCol w:w="109"/>
        <w:gridCol w:w="109"/>
        <w:gridCol w:w="475"/>
        <w:gridCol w:w="1624"/>
        <w:gridCol w:w="245"/>
        <w:gridCol w:w="109"/>
        <w:gridCol w:w="109"/>
        <w:gridCol w:w="109"/>
        <w:gridCol w:w="221"/>
        <w:gridCol w:w="867"/>
        <w:gridCol w:w="114"/>
        <w:gridCol w:w="109"/>
        <w:gridCol w:w="109"/>
        <w:gridCol w:w="109"/>
        <w:gridCol w:w="430"/>
        <w:gridCol w:w="1688"/>
        <w:gridCol w:w="321"/>
      </w:tblGrid>
      <w:tr>
        <w:trPr/>
        <w:tc>
          <w:tcPr>
            <w:tcW w:w="7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4" w:type="dxa"/>
            <w:gridSpan w:val="3"/>
            <w:tcBorders/>
            <w:vAlign w:val="center"/>
          </w:tcPr>
          <w:p>
            <w:pPr>
              <w:pStyle w:val="TableContents"/>
              <w:bidi w:val="0"/>
              <w:spacing w:before="0" w:after="283"/>
              <w:jc w:val="left"/>
              <w:rPr>
                <w:sz w:val="4"/>
                <w:szCs w:val="4"/>
              </w:rPr>
            </w:pPr>
            <w:r>
              <w:rPr>
                <w:sz w:val="4"/>
                <w:szCs w:val="4"/>
              </w:rPr>
            </w:r>
          </w:p>
        </w:tc>
        <w:tc>
          <w:tcPr>
            <w:tcW w:w="4295" w:type="dxa"/>
            <w:gridSpan w:val="12"/>
            <w:tcBorders/>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With No Related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 With No Related Allowance</w:t>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74,976 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9" w:type="dxa"/>
            <w:gridSpan w:val="3"/>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Franchise and equipment finance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 single family residential</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223,924 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40,405 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372,618 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165,604 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pPr>
      <w:r>
        <w:rPr>
          <w:rFonts w:ascii="Times New Roman;serif" w:hAnsi="Times New Roman;serif"/>
          <w:b w:val="false"/>
          <w:color w:val="000000"/>
          <w:sz w:val="20"/>
        </w:rPr>
        <w:t>Included in the table above is the guaranteed portion of non-accrual SBA loans totaling $31.8 million and $37.9 million at June 30, 2026 and December 31, 2025, respectively. The amount of interest income recognized on non-accrual loans was insignificant for the three and six months ended</w:t>
      </w:r>
      <w:r>
        <w:rPr>
          <w:color w:val="000000"/>
        </w:rPr>
        <w:t xml:space="preserve"> </w:t>
      </w:r>
      <w:r>
        <w:rPr>
          <w:rFonts w:ascii="Times New Roman;serif" w:hAnsi="Times New Roman;serif"/>
          <w:b w:val="false"/>
          <w:color w:val="000000"/>
          <w:sz w:val="20"/>
        </w:rPr>
        <w:t>June 30, 2026 and 2025. The amount of additional interest income that would have been recognized on non-accrual loans had they performed in accordance with their contractual terms was not material for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48285"/>
                <wp:effectExtent l="0" t="0" r="0" b="0"/>
                <wp:wrapNone/>
                <wp:docPr id="23" name="Frame2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Collateral dependent loans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basis of collateral dependent loans at the dates indicated (in thousands):</w:t>
      </w:r>
    </w:p>
    <w:tbl>
      <w:tblPr>
        <w:tblW w:w="10205" w:type="dxa"/>
        <w:jc w:val="left"/>
        <w:tblInd w:w="0" w:type="dxa"/>
        <w:tblLayout w:type="fixed"/>
        <w:tblCellMar>
          <w:top w:w="28" w:type="dxa"/>
          <w:left w:w="28" w:type="dxa"/>
          <w:bottom w:w="28" w:type="dxa"/>
          <w:right w:w="28" w:type="dxa"/>
        </w:tblCellMar>
      </w:tblPr>
      <w:tblGrid>
        <w:gridCol w:w="791"/>
        <w:gridCol w:w="694"/>
        <w:gridCol w:w="705"/>
        <w:gridCol w:w="222"/>
        <w:gridCol w:w="872"/>
        <w:gridCol w:w="114"/>
        <w:gridCol w:w="109"/>
        <w:gridCol w:w="109"/>
        <w:gridCol w:w="109"/>
        <w:gridCol w:w="420"/>
        <w:gridCol w:w="1647"/>
        <w:gridCol w:w="216"/>
        <w:gridCol w:w="109"/>
        <w:gridCol w:w="109"/>
        <w:gridCol w:w="109"/>
        <w:gridCol w:w="222"/>
        <w:gridCol w:w="872"/>
        <w:gridCol w:w="114"/>
        <w:gridCol w:w="109"/>
        <w:gridCol w:w="109"/>
        <w:gridCol w:w="109"/>
        <w:gridCol w:w="412"/>
        <w:gridCol w:w="1616"/>
        <w:gridCol w:w="307"/>
      </w:tblGrid>
      <w:tr>
        <w:trPr/>
        <w:tc>
          <w:tcPr>
            <w:tcW w:w="7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Extent to Which Secured by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Extent to Which Secured by Collateral</w:t>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5"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112,071 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102,096 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142,356 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5"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Franchise and equipment finance </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5"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5"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182,618 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138,746 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285,232 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256,943 </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Collateral for the CRE loan class generally consists of commercial real estate, or for certain construction loans, residential real estate. Collateral for C&amp;I loans generally consists of equipment, accounts receivable, inventory and other business assets and for owner-occupied commercial real estate loans, may also include commercial real estate. Franchise and equipment finance loans may be collateralized by franchise value or by equipment. There were no significant changes to the extent to which collateral secured collateral dependent loans during the six months ended June 30, 2026.</w:t>
      </w: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Foreclosure of residential real estate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recorded investment in residential loans in the process of foreclosure was $117 million, of which $107 million was government insured at June 30, 2026, and $104 million, of which $96 million was government insured at December 31, 2025. The carrying amount of foreclosed residential real estate included in other assets in the accompanying consolidated balance sheet was insignificant at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48285"/>
                <wp:effectExtent l="0" t="0" r="0" b="0"/>
                <wp:wrapNone/>
                <wp:docPr id="24" name="Frame2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Loan Modifications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loans that were modified for borrowers experiencing financial difficulty, by type of modification, during the periods indicated (dollars in thousands):</w:t>
      </w:r>
    </w:p>
    <w:tbl>
      <w:tblPr>
        <w:tblW w:w="10205" w:type="dxa"/>
        <w:jc w:val="left"/>
        <w:tblInd w:w="0" w:type="dxa"/>
        <w:tblLayout w:type="fixed"/>
        <w:tblCellMar>
          <w:top w:w="28" w:type="dxa"/>
          <w:left w:w="28" w:type="dxa"/>
          <w:bottom w:w="28" w:type="dxa"/>
          <w:right w:w="28" w:type="dxa"/>
        </w:tblCellMar>
      </w:tblPr>
      <w:tblGrid>
        <w:gridCol w:w="366"/>
        <w:gridCol w:w="243"/>
        <w:gridCol w:w="249"/>
        <w:gridCol w:w="188"/>
        <w:gridCol w:w="424"/>
        <w:gridCol w:w="115"/>
        <w:gridCol w:w="109"/>
        <w:gridCol w:w="109"/>
        <w:gridCol w:w="109"/>
        <w:gridCol w:w="182"/>
        <w:gridCol w:w="545"/>
        <w:gridCol w:w="109"/>
        <w:gridCol w:w="109"/>
        <w:gridCol w:w="109"/>
        <w:gridCol w:w="109"/>
        <w:gridCol w:w="109"/>
        <w:gridCol w:w="109"/>
        <w:gridCol w:w="194"/>
        <w:gridCol w:w="501"/>
        <w:gridCol w:w="117"/>
        <w:gridCol w:w="109"/>
        <w:gridCol w:w="109"/>
        <w:gridCol w:w="109"/>
        <w:gridCol w:w="254"/>
        <w:gridCol w:w="571"/>
        <w:gridCol w:w="155"/>
        <w:gridCol w:w="109"/>
        <w:gridCol w:w="109"/>
        <w:gridCol w:w="109"/>
        <w:gridCol w:w="210"/>
        <w:gridCol w:w="630"/>
        <w:gridCol w:w="129"/>
        <w:gridCol w:w="109"/>
        <w:gridCol w:w="109"/>
        <w:gridCol w:w="109"/>
        <w:gridCol w:w="181"/>
        <w:gridCol w:w="406"/>
        <w:gridCol w:w="109"/>
        <w:gridCol w:w="109"/>
        <w:gridCol w:w="109"/>
        <w:gridCol w:w="109"/>
        <w:gridCol w:w="181"/>
        <w:gridCol w:w="616"/>
        <w:gridCol w:w="109"/>
        <w:gridCol w:w="109"/>
        <w:gridCol w:w="109"/>
        <w:gridCol w:w="109"/>
        <w:gridCol w:w="217"/>
        <w:gridCol w:w="204"/>
        <w:gridCol w:w="493"/>
      </w:tblGrid>
      <w:tr>
        <w:trPr/>
        <w:tc>
          <w:tcPr>
            <w:tcW w:w="3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6"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 2026</w:t>
            </w:r>
          </w:p>
        </w:tc>
        <w:tc>
          <w:tcPr>
            <w:tcW w:w="1241" w:type="dxa"/>
            <w:gridSpan w:val="6"/>
            <w:tcBorders/>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Combination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 Rate Reduction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Term Extension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Interest Rate Reduction and 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Interest Rate Reduction and Other than Insignificant Payment Delays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Term Extension and Other than Insignificant Payment Delays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Other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Modified in Portfolio Segment</w:t>
            </w:r>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CRE</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29,922 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C&amp;I</w:t>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52,184 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Franchise and equipment finance</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1-4 single family residential</w:t>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Government insured residential</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52,483 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82,106 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139,333 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(1)Other modifications include loans that experienced a combination of Interest Rate Reduction, Term Extension and Other than Insignificant Payment Delays.</w:t>
      </w:r>
    </w:p>
    <w:tbl>
      <w:tblPr>
        <w:tblW w:w="11785" w:type="dxa"/>
        <w:jc w:val="left"/>
        <w:tblInd w:w="0" w:type="dxa"/>
        <w:tblLayout w:type="fixed"/>
        <w:tblCellMar>
          <w:top w:w="28" w:type="dxa"/>
          <w:left w:w="28" w:type="dxa"/>
          <w:bottom w:w="28" w:type="dxa"/>
          <w:right w:w="28" w:type="dxa"/>
        </w:tblCellMar>
      </w:tblPr>
      <w:tblGrid>
        <w:gridCol w:w="356"/>
        <w:gridCol w:w="232"/>
        <w:gridCol w:w="238"/>
        <w:gridCol w:w="181"/>
        <w:gridCol w:w="466"/>
        <w:gridCol w:w="109"/>
        <w:gridCol w:w="109"/>
        <w:gridCol w:w="109"/>
        <w:gridCol w:w="109"/>
        <w:gridCol w:w="181"/>
        <w:gridCol w:w="541"/>
        <w:gridCol w:w="109"/>
        <w:gridCol w:w="109"/>
        <w:gridCol w:w="109"/>
        <w:gridCol w:w="109"/>
        <w:gridCol w:w="109"/>
        <w:gridCol w:w="109"/>
        <w:gridCol w:w="181"/>
        <w:gridCol w:w="466"/>
        <w:gridCol w:w="109"/>
        <w:gridCol w:w="109"/>
        <w:gridCol w:w="109"/>
        <w:gridCol w:w="109"/>
        <w:gridCol w:w="230"/>
        <w:gridCol w:w="516"/>
        <w:gridCol w:w="140"/>
        <w:gridCol w:w="109"/>
        <w:gridCol w:w="109"/>
        <w:gridCol w:w="109"/>
        <w:gridCol w:w="192"/>
        <w:gridCol w:w="576"/>
        <w:gridCol w:w="118"/>
        <w:gridCol w:w="109"/>
        <w:gridCol w:w="109"/>
        <w:gridCol w:w="109"/>
        <w:gridCol w:w="181"/>
        <w:gridCol w:w="541"/>
        <w:gridCol w:w="109"/>
        <w:gridCol w:w="109"/>
        <w:gridCol w:w="109"/>
        <w:gridCol w:w="109"/>
        <w:gridCol w:w="181"/>
        <w:gridCol w:w="616"/>
        <w:gridCol w:w="109"/>
        <w:gridCol w:w="109"/>
        <w:gridCol w:w="109"/>
        <w:gridCol w:w="109"/>
        <w:gridCol w:w="206"/>
        <w:gridCol w:w="206"/>
        <w:gridCol w:w="399"/>
        <w:gridCol w:w="109"/>
        <w:gridCol w:w="109"/>
        <w:gridCol w:w="109"/>
        <w:gridCol w:w="109"/>
        <w:gridCol w:w="109"/>
        <w:gridCol w:w="109"/>
        <w:gridCol w:w="109"/>
        <w:gridCol w:w="109"/>
        <w:gridCol w:w="109"/>
        <w:gridCol w:w="109"/>
        <w:gridCol w:w="109"/>
        <w:gridCol w:w="109"/>
        <w:gridCol w:w="109"/>
        <w:gridCol w:w="109"/>
        <w:gridCol w:w="109"/>
        <w:gridCol w:w="154"/>
      </w:tblGrid>
      <w:tr>
        <w:trPr/>
        <w:tc>
          <w:tcPr>
            <w:tcW w:w="3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 2026</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Combination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 Rate Reduction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Term Extension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Interest Rate Reduction and 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Interest Rate Reduction and Other than Insignificant Payment Delays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Term Extension and Other than Insignificant Payment Delays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Other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Modified in Portfolio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C&amp;I</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52,184 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Franchise and equipment finance </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1-4 single family residential</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Government insured residential</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82,106 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(1)Other modifications include loans that experienced a combination of Interest Rate Reduction, Term Extension and Other than Insignificant Payment Delays.</w:t>
      </w:r>
    </w:p>
    <w:p>
      <w:pPr>
        <w:pStyle w:val="TextBody"/>
        <w:bidi w:val="0"/>
        <w:spacing w:before="160" w:after="283"/>
        <w:jc w:val="left"/>
        <w:rPr/>
      </w:pPr>
      <w:r>
        <w:rPr/>
      </w:r>
    </w:p>
    <w:tbl>
      <w:tblPr>
        <w:tblW w:w="10421" w:type="dxa"/>
        <w:jc w:val="left"/>
        <w:tblInd w:w="0" w:type="dxa"/>
        <w:tblLayout w:type="fixed"/>
        <w:tblCellMar>
          <w:top w:w="28" w:type="dxa"/>
          <w:left w:w="28" w:type="dxa"/>
          <w:bottom w:w="28" w:type="dxa"/>
          <w:right w:w="28" w:type="dxa"/>
        </w:tblCellMar>
      </w:tblPr>
      <w:tblGrid>
        <w:gridCol w:w="356"/>
        <w:gridCol w:w="232"/>
        <w:gridCol w:w="238"/>
        <w:gridCol w:w="183"/>
        <w:gridCol w:w="411"/>
        <w:gridCol w:w="112"/>
        <w:gridCol w:w="109"/>
        <w:gridCol w:w="109"/>
        <w:gridCol w:w="109"/>
        <w:gridCol w:w="181"/>
        <w:gridCol w:w="616"/>
        <w:gridCol w:w="109"/>
        <w:gridCol w:w="109"/>
        <w:gridCol w:w="109"/>
        <w:gridCol w:w="109"/>
        <w:gridCol w:w="192"/>
        <w:gridCol w:w="576"/>
        <w:gridCol w:w="118"/>
        <w:gridCol w:w="109"/>
        <w:gridCol w:w="109"/>
        <w:gridCol w:w="109"/>
        <w:gridCol w:w="181"/>
        <w:gridCol w:w="466"/>
        <w:gridCol w:w="109"/>
        <w:gridCol w:w="109"/>
        <w:gridCol w:w="109"/>
        <w:gridCol w:w="109"/>
        <w:gridCol w:w="230"/>
        <w:gridCol w:w="516"/>
        <w:gridCol w:w="140"/>
        <w:gridCol w:w="109"/>
        <w:gridCol w:w="109"/>
        <w:gridCol w:w="109"/>
        <w:gridCol w:w="230"/>
        <w:gridCol w:w="516"/>
        <w:gridCol w:w="140"/>
        <w:gridCol w:w="109"/>
        <w:gridCol w:w="109"/>
        <w:gridCol w:w="109"/>
        <w:gridCol w:w="109"/>
        <w:gridCol w:w="109"/>
        <w:gridCol w:w="109"/>
        <w:gridCol w:w="109"/>
        <w:gridCol w:w="181"/>
        <w:gridCol w:w="616"/>
        <w:gridCol w:w="109"/>
        <w:gridCol w:w="143"/>
        <w:gridCol w:w="143"/>
        <w:gridCol w:w="109"/>
        <w:gridCol w:w="210"/>
        <w:gridCol w:w="196"/>
        <w:gridCol w:w="464"/>
      </w:tblGrid>
      <w:tr>
        <w:trPr/>
        <w:tc>
          <w:tcPr>
            <w:tcW w:w="3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5" w:type="dxa"/>
            <w:gridSpan w:val="4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 2025</w:t>
            </w:r>
          </w:p>
        </w:tc>
        <w:tc>
          <w:tcPr>
            <w:tcW w:w="870" w:type="dxa"/>
            <w:gridSpan w:val="3"/>
            <w:tcBorders/>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Combination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 Rate Reduction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Term Extension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 than Insignificant Payment Delays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 Rate Reduction and 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 Rate Reduction and Other than Insignificant Payment Delays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Term Extension and Other than Insignificant Payment Delays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Modified in Portfolio Segment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CRE</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C&amp;I</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9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1-4 single family residential</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Government insured residential</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29,816 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48285"/>
                <wp:effectExtent l="0" t="0" r="0" b="0"/>
                <wp:wrapNone/>
                <wp:docPr id="25" name="Frame2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tbl>
      <w:tblPr>
        <w:tblW w:w="11429" w:type="dxa"/>
        <w:jc w:val="left"/>
        <w:tblInd w:w="0" w:type="dxa"/>
        <w:tblLayout w:type="fixed"/>
        <w:tblCellMar>
          <w:top w:w="28" w:type="dxa"/>
          <w:left w:w="28" w:type="dxa"/>
          <w:bottom w:w="28" w:type="dxa"/>
          <w:right w:w="28" w:type="dxa"/>
        </w:tblCellMar>
      </w:tblPr>
      <w:tblGrid>
        <w:gridCol w:w="356"/>
        <w:gridCol w:w="232"/>
        <w:gridCol w:w="238"/>
        <w:gridCol w:w="183"/>
        <w:gridCol w:w="411"/>
        <w:gridCol w:w="112"/>
        <w:gridCol w:w="109"/>
        <w:gridCol w:w="109"/>
        <w:gridCol w:w="109"/>
        <w:gridCol w:w="181"/>
        <w:gridCol w:w="616"/>
        <w:gridCol w:w="109"/>
        <w:gridCol w:w="109"/>
        <w:gridCol w:w="109"/>
        <w:gridCol w:w="109"/>
        <w:gridCol w:w="192"/>
        <w:gridCol w:w="576"/>
        <w:gridCol w:w="118"/>
        <w:gridCol w:w="109"/>
        <w:gridCol w:w="109"/>
        <w:gridCol w:w="109"/>
        <w:gridCol w:w="181"/>
        <w:gridCol w:w="466"/>
        <w:gridCol w:w="109"/>
        <w:gridCol w:w="109"/>
        <w:gridCol w:w="109"/>
        <w:gridCol w:w="109"/>
        <w:gridCol w:w="212"/>
        <w:gridCol w:w="546"/>
        <w:gridCol w:w="128"/>
        <w:gridCol w:w="109"/>
        <w:gridCol w:w="109"/>
        <w:gridCol w:w="109"/>
        <w:gridCol w:w="212"/>
        <w:gridCol w:w="546"/>
        <w:gridCol w:w="128"/>
        <w:gridCol w:w="109"/>
        <w:gridCol w:w="109"/>
        <w:gridCol w:w="109"/>
        <w:gridCol w:w="109"/>
        <w:gridCol w:w="109"/>
        <w:gridCol w:w="181"/>
        <w:gridCol w:w="616"/>
        <w:gridCol w:w="109"/>
        <w:gridCol w:w="109"/>
        <w:gridCol w:w="109"/>
        <w:gridCol w:w="109"/>
        <w:gridCol w:w="206"/>
        <w:gridCol w:w="206"/>
        <w:gridCol w:w="399"/>
        <w:gridCol w:w="109"/>
        <w:gridCol w:w="109"/>
        <w:gridCol w:w="109"/>
        <w:gridCol w:w="109"/>
        <w:gridCol w:w="109"/>
        <w:gridCol w:w="109"/>
        <w:gridCol w:w="109"/>
        <w:gridCol w:w="109"/>
        <w:gridCol w:w="109"/>
        <w:gridCol w:w="109"/>
        <w:gridCol w:w="109"/>
        <w:gridCol w:w="154"/>
      </w:tblGrid>
      <w:tr>
        <w:trPr/>
        <w:tc>
          <w:tcPr>
            <w:tcW w:w="3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4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Combination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 Rate Reduction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Term Extension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 than Insignificant Payment Delays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Interest Rate Reduction and 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Interest Rate Reduction and Other than Insignificant Payment Delays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Term Extension and Other than Insignificant Payment Delays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Modified in Portfolio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CRE</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8,912 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C&amp;I</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50,395 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1-4 single family residential</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Government insured residential</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50,395 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8,912 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6,587 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financial effect of the modifications made to borrowers experiencing difficulty, during the periods indicated:</w:t>
      </w:r>
    </w:p>
    <w:tbl>
      <w:tblPr>
        <w:tblW w:w="10205" w:type="dxa"/>
        <w:jc w:val="left"/>
        <w:tblInd w:w="0" w:type="dxa"/>
        <w:tblLayout w:type="fixed"/>
        <w:tblCellMar>
          <w:top w:w="28" w:type="dxa"/>
          <w:left w:w="28" w:type="dxa"/>
          <w:bottom w:w="28" w:type="dxa"/>
          <w:right w:w="28" w:type="dxa"/>
        </w:tblCellMar>
      </w:tblPr>
      <w:tblGrid>
        <w:gridCol w:w="1307"/>
        <w:gridCol w:w="1037"/>
        <w:gridCol w:w="1045"/>
        <w:gridCol w:w="109"/>
        <w:gridCol w:w="109"/>
        <w:gridCol w:w="109"/>
        <w:gridCol w:w="1768"/>
        <w:gridCol w:w="1678"/>
        <w:gridCol w:w="1686"/>
        <w:gridCol w:w="109"/>
        <w:gridCol w:w="109"/>
        <w:gridCol w:w="109"/>
        <w:gridCol w:w="109"/>
        <w:gridCol w:w="109"/>
        <w:gridCol w:w="109"/>
        <w:gridCol w:w="109"/>
        <w:gridCol w:w="109"/>
        <w:gridCol w:w="109"/>
        <w:gridCol w:w="109"/>
        <w:gridCol w:w="109"/>
        <w:gridCol w:w="158"/>
      </w:tblGrid>
      <w:tr>
        <w:trPr/>
        <w:tc>
          <w:tcPr>
            <w:tcW w:w="130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Financial Effect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Rate Reduction: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1-4 single family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Reduced weighted average contractual interest rate from 6.9% to 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Term Extension: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0.4 year to the term of the modified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0.2 year to the term of the modified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equipment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1.5 years to the term of the modified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insured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13.9 years to the term of the modified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Combination - Interest Rate Reduction and Term Extension: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insured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Reduced weighted average contractual interest rate from 7.0% to 6.5% and added a weighted average 6.0 years to the term of the modified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Combination - Term Extension and Other than Insignificant Payment Delays: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2.0 years to the term of the modified loans and provided 2.0 years of payment deferral.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1.4 years to the term of the modified loans and provided 2.0 years of payment deferral.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48285"/>
                <wp:effectExtent l="0" t="0" r="0" b="0"/>
                <wp:wrapNone/>
                <wp:docPr id="26" name="Frame2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04"/>
        <w:gridCol w:w="1034"/>
        <w:gridCol w:w="1042"/>
        <w:gridCol w:w="109"/>
        <w:gridCol w:w="109"/>
        <w:gridCol w:w="109"/>
        <w:gridCol w:w="1966"/>
        <w:gridCol w:w="1876"/>
        <w:gridCol w:w="2656"/>
      </w:tblGrid>
      <w:tr>
        <w:trPr/>
        <w:tc>
          <w:tcPr>
            <w:tcW w:w="130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3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3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Financial Effect</w:t>
            </w:r>
          </w:p>
        </w:tc>
      </w:tr>
      <w:tr>
        <w:trPr/>
        <w:tc>
          <w:tcPr>
            <w:tcW w:w="3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Rate Reduction: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Reduced weighted average contractual interest rate from 11.3% to 9.8%</w:t>
            </w:r>
          </w:p>
        </w:tc>
      </w:tr>
      <w:tr>
        <w:trPr/>
        <w:tc>
          <w:tcPr>
            <w:tcW w:w="3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1-4 single family 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Reduced weighted average contractual interest rate from 6.5% to 6.2%.</w:t>
            </w:r>
          </w:p>
        </w:tc>
      </w:tr>
      <w:tr>
        <w:trPr/>
        <w:tc>
          <w:tcPr>
            <w:tcW w:w="3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Term Extension: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0.4 years to the term of the modified loans.</w:t>
            </w:r>
          </w:p>
        </w:tc>
      </w:tr>
      <w:tr>
        <w:trPr/>
        <w:tc>
          <w:tcPr>
            <w:tcW w:w="3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0.3 years to the term of the modified loans.</w:t>
            </w:r>
          </w:p>
        </w:tc>
      </w:tr>
      <w:tr>
        <w:trPr/>
        <w:tc>
          <w:tcPr>
            <w:tcW w:w="3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equipment 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1.5 years to the term of the modified loans.</w:t>
            </w:r>
          </w:p>
        </w:tc>
      </w:tr>
      <w:tr>
        <w:trPr/>
        <w:tc>
          <w:tcPr>
            <w:tcW w:w="3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8" w:type="dxa"/>
            <w:gridSpan w:val="3"/>
            <w:tcBorders/>
            <w:vAlign w:val="center"/>
          </w:tcPr>
          <w:p>
            <w:pPr>
              <w:pStyle w:val="TableContents"/>
              <w:bidi w:val="0"/>
              <w:spacing w:before="0" w:after="283"/>
              <w:jc w:val="left"/>
              <w:rPr>
                <w:sz w:val="4"/>
                <w:szCs w:val="4"/>
              </w:rPr>
            </w:pPr>
            <w:r>
              <w:rPr>
                <w:sz w:val="4"/>
                <w:szCs w:val="4"/>
              </w:rPr>
            </w:r>
          </w:p>
        </w:tc>
      </w:tr>
      <w:tr>
        <w:trPr/>
        <w:tc>
          <w:tcPr>
            <w:tcW w:w="3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insured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13.9 years to the term of the modified loans.</w:t>
            </w:r>
          </w:p>
        </w:tc>
      </w:tr>
      <w:tr>
        <w:trPr/>
        <w:tc>
          <w:tcPr>
            <w:tcW w:w="3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8" w:type="dxa"/>
            <w:gridSpan w:val="3"/>
            <w:tcBorders/>
            <w:vAlign w:val="center"/>
          </w:tcPr>
          <w:p>
            <w:pPr>
              <w:pStyle w:val="TableContents"/>
              <w:bidi w:val="0"/>
              <w:spacing w:before="0" w:after="283"/>
              <w:jc w:val="left"/>
              <w:rPr>
                <w:sz w:val="4"/>
                <w:szCs w:val="4"/>
              </w:rPr>
            </w:pPr>
            <w:r>
              <w:rPr>
                <w:sz w:val="4"/>
                <w:szCs w:val="4"/>
              </w:rPr>
            </w:r>
          </w:p>
        </w:tc>
      </w:tr>
      <w:tr>
        <w:trPr/>
        <w:tc>
          <w:tcPr>
            <w:tcW w:w="3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8" w:type="dxa"/>
            <w:gridSpan w:val="3"/>
            <w:tcBorders/>
            <w:vAlign w:val="center"/>
          </w:tcPr>
          <w:p>
            <w:pPr>
              <w:pStyle w:val="TableContents"/>
              <w:bidi w:val="0"/>
              <w:spacing w:before="0" w:after="283"/>
              <w:jc w:val="left"/>
              <w:rPr>
                <w:sz w:val="4"/>
                <w:szCs w:val="4"/>
              </w:rPr>
            </w:pPr>
            <w:r>
              <w:rPr>
                <w:sz w:val="4"/>
                <w:szCs w:val="4"/>
              </w:rPr>
            </w:r>
          </w:p>
        </w:tc>
      </w:tr>
      <w:tr>
        <w:trPr/>
        <w:tc>
          <w:tcPr>
            <w:tcW w:w="3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Combination - Interest Rate Reduction and Term Extension: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8" w:type="dxa"/>
            <w:gridSpan w:val="3"/>
            <w:tcBorders/>
            <w:vAlign w:val="center"/>
          </w:tcPr>
          <w:p>
            <w:pPr>
              <w:pStyle w:val="TableContents"/>
              <w:bidi w:val="0"/>
              <w:spacing w:before="0" w:after="283"/>
              <w:jc w:val="left"/>
              <w:rPr>
                <w:sz w:val="4"/>
                <w:szCs w:val="4"/>
              </w:rPr>
            </w:pPr>
            <w:r>
              <w:rPr>
                <w:sz w:val="4"/>
                <w:szCs w:val="4"/>
              </w:rPr>
            </w:r>
          </w:p>
        </w:tc>
      </w:tr>
      <w:tr>
        <w:trPr/>
        <w:tc>
          <w:tcPr>
            <w:tcW w:w="3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8" w:type="dxa"/>
            <w:gridSpan w:val="3"/>
            <w:tcBorders/>
            <w:vAlign w:val="center"/>
          </w:tcPr>
          <w:p>
            <w:pPr>
              <w:pStyle w:val="TableContents"/>
              <w:bidi w:val="0"/>
              <w:spacing w:before="0" w:after="283"/>
              <w:jc w:val="left"/>
              <w:rPr>
                <w:sz w:val="4"/>
                <w:szCs w:val="4"/>
              </w:rPr>
            </w:pPr>
            <w:r>
              <w:rPr>
                <w:sz w:val="4"/>
                <w:szCs w:val="4"/>
              </w:rPr>
            </w:r>
          </w:p>
        </w:tc>
      </w:tr>
      <w:tr>
        <w:trPr/>
        <w:tc>
          <w:tcPr>
            <w:tcW w:w="3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8" w:type="dxa"/>
            <w:gridSpan w:val="3"/>
            <w:tcBorders/>
            <w:vAlign w:val="center"/>
          </w:tcPr>
          <w:p>
            <w:pPr>
              <w:pStyle w:val="TableContents"/>
              <w:bidi w:val="0"/>
              <w:spacing w:before="0" w:after="283"/>
              <w:jc w:val="left"/>
              <w:rPr>
                <w:sz w:val="4"/>
                <w:szCs w:val="4"/>
              </w:rPr>
            </w:pPr>
            <w:r>
              <w:rPr>
                <w:sz w:val="4"/>
                <w:szCs w:val="4"/>
              </w:rPr>
            </w:r>
          </w:p>
        </w:tc>
      </w:tr>
      <w:tr>
        <w:trPr/>
        <w:tc>
          <w:tcPr>
            <w:tcW w:w="3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8" w:type="dxa"/>
            <w:gridSpan w:val="3"/>
            <w:tcBorders/>
            <w:vAlign w:val="center"/>
          </w:tcPr>
          <w:p>
            <w:pPr>
              <w:pStyle w:val="TableContents"/>
              <w:bidi w:val="0"/>
              <w:spacing w:before="0" w:after="283"/>
              <w:jc w:val="left"/>
              <w:rPr>
                <w:sz w:val="4"/>
                <w:szCs w:val="4"/>
              </w:rPr>
            </w:pPr>
            <w:r>
              <w:rPr>
                <w:sz w:val="4"/>
                <w:szCs w:val="4"/>
              </w:rPr>
            </w:r>
          </w:p>
        </w:tc>
      </w:tr>
      <w:tr>
        <w:trPr/>
        <w:tc>
          <w:tcPr>
            <w:tcW w:w="3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insured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Reduced weighted average contractual interest rate from 7.0% to 6.5% and added a weighted average 6.0 years to the term of the modified loans.</w:t>
            </w:r>
          </w:p>
        </w:tc>
      </w:tr>
      <w:tr>
        <w:trPr/>
        <w:tc>
          <w:tcPr>
            <w:tcW w:w="3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8" w:type="dxa"/>
            <w:gridSpan w:val="3"/>
            <w:tcBorders/>
            <w:vAlign w:val="center"/>
          </w:tcPr>
          <w:p>
            <w:pPr>
              <w:pStyle w:val="TableContents"/>
              <w:bidi w:val="0"/>
              <w:spacing w:before="0" w:after="283"/>
              <w:jc w:val="left"/>
              <w:rPr>
                <w:sz w:val="4"/>
                <w:szCs w:val="4"/>
              </w:rPr>
            </w:pPr>
            <w:r>
              <w:rPr>
                <w:sz w:val="4"/>
                <w:szCs w:val="4"/>
              </w:rPr>
            </w:r>
          </w:p>
        </w:tc>
      </w:tr>
      <w:tr>
        <w:trPr/>
        <w:tc>
          <w:tcPr>
            <w:tcW w:w="3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8" w:type="dxa"/>
            <w:gridSpan w:val="3"/>
            <w:tcBorders/>
            <w:vAlign w:val="center"/>
          </w:tcPr>
          <w:p>
            <w:pPr>
              <w:pStyle w:val="TableContents"/>
              <w:bidi w:val="0"/>
              <w:spacing w:before="0" w:after="283"/>
              <w:jc w:val="left"/>
              <w:rPr>
                <w:sz w:val="4"/>
                <w:szCs w:val="4"/>
              </w:rPr>
            </w:pPr>
            <w:r>
              <w:rPr>
                <w:sz w:val="4"/>
                <w:szCs w:val="4"/>
              </w:rPr>
            </w:r>
          </w:p>
        </w:tc>
      </w:tr>
      <w:tr>
        <w:trPr/>
        <w:tc>
          <w:tcPr>
            <w:tcW w:w="3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Combination - Term Extension and Other than Insignificant Payment Delays: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4.0 years to the term of the modified loans and provided 2.0 years of payment deferral.</w:t>
            </w:r>
          </w:p>
        </w:tc>
      </w:tr>
      <w:tr>
        <w:trPr/>
        <w:tc>
          <w:tcPr>
            <w:tcW w:w="3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2.7 years to the term of the modified loans and provided 1.9 years of payment deferral.</w:t>
            </w:r>
          </w:p>
        </w:tc>
      </w:tr>
      <w:tr>
        <w:trPr/>
        <w:tc>
          <w:tcPr>
            <w:tcW w:w="3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1.9 years to the term of the modified loans, reduced weighted average contractual interest rate from 11.7% to 8.2%, and provided 3.8 years of payment deferral.</w:t>
            </w:r>
          </w:p>
        </w:tc>
      </w:tr>
    </w:tbl>
    <w:tbl>
      <w:tblPr>
        <w:tblW w:w="10205" w:type="dxa"/>
        <w:jc w:val="left"/>
        <w:tblInd w:w="0" w:type="dxa"/>
        <w:tblLayout w:type="fixed"/>
        <w:tblCellMar>
          <w:top w:w="28" w:type="dxa"/>
          <w:left w:w="28" w:type="dxa"/>
          <w:bottom w:w="28" w:type="dxa"/>
          <w:right w:w="28" w:type="dxa"/>
        </w:tblCellMar>
      </w:tblPr>
      <w:tblGrid>
        <w:gridCol w:w="1265"/>
        <w:gridCol w:w="1030"/>
        <w:gridCol w:w="1037"/>
        <w:gridCol w:w="109"/>
        <w:gridCol w:w="109"/>
        <w:gridCol w:w="109"/>
        <w:gridCol w:w="1963"/>
        <w:gridCol w:w="1897"/>
        <w:gridCol w:w="2686"/>
      </w:tblGrid>
      <w:tr>
        <w:trPr/>
        <w:tc>
          <w:tcPr>
            <w:tcW w:w="12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3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3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Financial Effect</w:t>
            </w:r>
          </w:p>
        </w:tc>
      </w:tr>
      <w:tr>
        <w:trPr/>
        <w:tc>
          <w:tcPr>
            <w:tcW w:w="3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Rate Reduction: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1-4 single family 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Reduced weighted average contractual interest rate from 8.3% to 7.0%.</w:t>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6"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6"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6"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6"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6"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Term Extension: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6"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Added a weighted average 0.9 year to the term of the modified loans. </w:t>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0.6 year to the term of the modified loans.</w:t>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6"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insured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12.5 years to the term of the modified loans.</w:t>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than Insignificant Payment Delays: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Provided 0.9 year of payment deferral.</w:t>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Combination - Interest Rate Reduction and Term Extension: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6"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insured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Reduced weighted average contractual interest rate from 7.3% to 7.1% and added a weighted average 3.5 years to the term of the modified loans.</w:t>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6"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6"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6"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6" w:type="dxa"/>
            <w:gridSpan w:val="3"/>
            <w:tcBorders/>
            <w:vAlign w:val="center"/>
          </w:tcPr>
          <w:p>
            <w:pPr>
              <w:pStyle w:val="TableContents"/>
              <w:bidi w:val="0"/>
              <w:spacing w:before="0" w:after="283"/>
              <w:jc w:val="left"/>
              <w:rPr>
                <w:sz w:val="4"/>
                <w:szCs w:val="4"/>
              </w:rPr>
            </w:pPr>
            <w:r>
              <w:rPr>
                <w:sz w:val="4"/>
                <w:szCs w:val="4"/>
              </w:rPr>
            </w:r>
          </w:p>
        </w:tc>
      </w:tr>
      <w:tr>
        <w:trPr/>
        <w:tc>
          <w:tcPr>
            <w:tcW w:w="3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48285"/>
                <wp:effectExtent l="0" t="0" r="0" b="0"/>
                <wp:wrapNone/>
                <wp:docPr id="27" name="Frame2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37"/>
        <w:gridCol w:w="1253"/>
        <w:gridCol w:w="1261"/>
        <w:gridCol w:w="109"/>
        <w:gridCol w:w="109"/>
        <w:gridCol w:w="109"/>
        <w:gridCol w:w="1762"/>
        <w:gridCol w:w="1683"/>
        <w:gridCol w:w="2382"/>
      </w:tblGrid>
      <w:tr>
        <w:trPr/>
        <w:tc>
          <w:tcPr>
            <w:tcW w:w="153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r>
      <w:tr>
        <w:trPr/>
        <w:tc>
          <w:tcPr>
            <w:tcW w:w="4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Financial Effect</w:t>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Rate Reduction: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1-4 single family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Reduced weighted average contractual interest rate from 8.3% to 7.0%.</w:t>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Term Extension: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0.9 year to the term of the modified loans.</w:t>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0.9 year to the term of the modified loans.</w:t>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insured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12.1 years to the term of the modified loans.</w:t>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Other than Insignificant Payment Delays: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Provided 0.7 year of payment deferral.</w:t>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Combination - Interest Rate Reduction and Term Extension: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insured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Reduced weighted average contractual interest rate from 7.3% to 7.1% and added a weighted average 3.1 years to the term of the modified loans.</w:t>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Combination - Interest Rate Reduction and Other than Insignificant Payment Delays: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Reduced weighted average contractual interest rate from 4.3% to 3.5% and provided 0.7 year of payment deferral.</w:t>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Combination - Term Extension and Other than Insignificant Payment Delays: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Added a weighted average 0.6 year to the term of the modified loans and provided 1.3 years of payment deferral.</w:t>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aging at the dates indicated, of loans that were modified within the previous 12 months (in thousands):</w:t>
      </w:r>
    </w:p>
    <w:tbl>
      <w:tblPr>
        <w:tblW w:w="10205" w:type="dxa"/>
        <w:jc w:val="left"/>
        <w:tblInd w:w="0" w:type="dxa"/>
        <w:tblLayout w:type="fixed"/>
        <w:tblCellMar>
          <w:top w:w="28" w:type="dxa"/>
          <w:left w:w="28" w:type="dxa"/>
          <w:bottom w:w="28" w:type="dxa"/>
          <w:right w:w="28" w:type="dxa"/>
        </w:tblCellMar>
      </w:tblPr>
      <w:tblGrid>
        <w:gridCol w:w="650"/>
        <w:gridCol w:w="487"/>
        <w:gridCol w:w="495"/>
        <w:gridCol w:w="211"/>
        <w:gridCol w:w="826"/>
        <w:gridCol w:w="109"/>
        <w:gridCol w:w="109"/>
        <w:gridCol w:w="109"/>
        <w:gridCol w:w="109"/>
        <w:gridCol w:w="256"/>
        <w:gridCol w:w="748"/>
        <w:gridCol w:w="132"/>
        <w:gridCol w:w="109"/>
        <w:gridCol w:w="109"/>
        <w:gridCol w:w="109"/>
        <w:gridCol w:w="259"/>
        <w:gridCol w:w="757"/>
        <w:gridCol w:w="134"/>
        <w:gridCol w:w="109"/>
        <w:gridCol w:w="109"/>
        <w:gridCol w:w="109"/>
        <w:gridCol w:w="269"/>
        <w:gridCol w:w="921"/>
        <w:gridCol w:w="139"/>
        <w:gridCol w:w="109"/>
        <w:gridCol w:w="109"/>
        <w:gridCol w:w="109"/>
        <w:gridCol w:w="211"/>
        <w:gridCol w:w="826"/>
        <w:gridCol w:w="109"/>
        <w:gridCol w:w="109"/>
        <w:gridCol w:w="109"/>
        <w:gridCol w:w="109"/>
        <w:gridCol w:w="109"/>
        <w:gridCol w:w="109"/>
        <w:gridCol w:w="109"/>
        <w:gridCol w:w="109"/>
        <w:gridCol w:w="109"/>
        <w:gridCol w:w="109"/>
        <w:gridCol w:w="109"/>
        <w:gridCol w:w="109"/>
        <w:gridCol w:w="159"/>
      </w:tblGrid>
      <w:tr>
        <w:trPr/>
        <w:tc>
          <w:tcPr>
            <w:tcW w:w="65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Current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30-59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60-89 Days Past Due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90 Days or More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Franchise and equipment finance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1-4 single family residential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Government insured residential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19,643 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50"/>
        <w:gridCol w:w="487"/>
        <w:gridCol w:w="495"/>
        <w:gridCol w:w="211"/>
        <w:gridCol w:w="826"/>
        <w:gridCol w:w="109"/>
        <w:gridCol w:w="109"/>
        <w:gridCol w:w="109"/>
        <w:gridCol w:w="109"/>
        <w:gridCol w:w="256"/>
        <w:gridCol w:w="748"/>
        <w:gridCol w:w="132"/>
        <w:gridCol w:w="109"/>
        <w:gridCol w:w="109"/>
        <w:gridCol w:w="109"/>
        <w:gridCol w:w="259"/>
        <w:gridCol w:w="757"/>
        <w:gridCol w:w="134"/>
        <w:gridCol w:w="109"/>
        <w:gridCol w:w="109"/>
        <w:gridCol w:w="109"/>
        <w:gridCol w:w="269"/>
        <w:gridCol w:w="921"/>
        <w:gridCol w:w="139"/>
        <w:gridCol w:w="109"/>
        <w:gridCol w:w="109"/>
        <w:gridCol w:w="109"/>
        <w:gridCol w:w="211"/>
        <w:gridCol w:w="826"/>
        <w:gridCol w:w="109"/>
        <w:gridCol w:w="109"/>
        <w:gridCol w:w="109"/>
        <w:gridCol w:w="109"/>
        <w:gridCol w:w="109"/>
        <w:gridCol w:w="109"/>
        <w:gridCol w:w="109"/>
        <w:gridCol w:w="109"/>
        <w:gridCol w:w="109"/>
        <w:gridCol w:w="109"/>
        <w:gridCol w:w="109"/>
        <w:gridCol w:w="109"/>
        <w:gridCol w:w="159"/>
      </w:tblGrid>
      <w:tr>
        <w:trPr/>
        <w:tc>
          <w:tcPr>
            <w:tcW w:w="65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Current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30-59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60-89 Days Past Due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90 Days or More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Franchise and equipment finance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1-4 single family residential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Government insured residential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48285"/>
                <wp:effectExtent l="0" t="0" r="0" b="0"/>
                <wp:wrapNone/>
                <wp:docPr id="28" name="Frame2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loans that were modified within the previous 12 months and defaulted during the periods indicated (in thousands):</w:t>
      </w:r>
    </w:p>
    <w:tbl>
      <w:tblPr>
        <w:tblW w:w="11924" w:type="dxa"/>
        <w:jc w:val="left"/>
        <w:tblInd w:w="0" w:type="dxa"/>
        <w:tblLayout w:type="fixed"/>
        <w:tblCellMar>
          <w:top w:w="28" w:type="dxa"/>
          <w:left w:w="28" w:type="dxa"/>
          <w:bottom w:w="28" w:type="dxa"/>
          <w:right w:w="28" w:type="dxa"/>
        </w:tblCellMar>
      </w:tblPr>
      <w:tblGrid>
        <w:gridCol w:w="363"/>
        <w:gridCol w:w="318"/>
        <w:gridCol w:w="325"/>
        <w:gridCol w:w="109"/>
        <w:gridCol w:w="109"/>
        <w:gridCol w:w="196"/>
        <w:gridCol w:w="556"/>
        <w:gridCol w:w="109"/>
        <w:gridCol w:w="109"/>
        <w:gridCol w:w="109"/>
        <w:gridCol w:w="109"/>
        <w:gridCol w:w="109"/>
        <w:gridCol w:w="109"/>
        <w:gridCol w:w="239"/>
        <w:gridCol w:w="678"/>
        <w:gridCol w:w="134"/>
        <w:gridCol w:w="109"/>
        <w:gridCol w:w="109"/>
        <w:gridCol w:w="109"/>
        <w:gridCol w:w="109"/>
        <w:gridCol w:w="109"/>
        <w:gridCol w:w="239"/>
        <w:gridCol w:w="678"/>
        <w:gridCol w:w="134"/>
        <w:gridCol w:w="109"/>
        <w:gridCol w:w="109"/>
        <w:gridCol w:w="109"/>
        <w:gridCol w:w="196"/>
        <w:gridCol w:w="556"/>
        <w:gridCol w:w="109"/>
        <w:gridCol w:w="109"/>
        <w:gridCol w:w="109"/>
        <w:gridCol w:w="109"/>
        <w:gridCol w:w="109"/>
        <w:gridCol w:w="109"/>
        <w:gridCol w:w="196"/>
        <w:gridCol w:w="556"/>
        <w:gridCol w:w="109"/>
        <w:gridCol w:w="109"/>
        <w:gridCol w:w="109"/>
        <w:gridCol w:w="109"/>
        <w:gridCol w:w="271"/>
        <w:gridCol w:w="583"/>
        <w:gridCol w:w="152"/>
        <w:gridCol w:w="109"/>
        <w:gridCol w:w="109"/>
        <w:gridCol w:w="109"/>
        <w:gridCol w:w="239"/>
        <w:gridCol w:w="678"/>
        <w:gridCol w:w="134"/>
        <w:gridCol w:w="109"/>
        <w:gridCol w:w="109"/>
        <w:gridCol w:w="109"/>
        <w:gridCol w:w="109"/>
        <w:gridCol w:w="196"/>
        <w:gridCol w:w="556"/>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053" w:type="dxa"/>
            <w:gridSpan w:val="19"/>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0"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720" w:type="dxa"/>
            <w:gridSpan w:val="13"/>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Combination - Interest Rate Reduction and 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Combination - Term Extension and Other than Insignificant Payment Delays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than Insignificant Payment Delays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Combination - Interest Rate Reduction and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insured residential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104" w:type="dxa"/>
        <w:jc w:val="left"/>
        <w:tblInd w:w="0" w:type="dxa"/>
        <w:tblLayout w:type="fixed"/>
        <w:tblCellMar>
          <w:top w:w="28" w:type="dxa"/>
          <w:left w:w="28" w:type="dxa"/>
          <w:bottom w:w="28" w:type="dxa"/>
          <w:right w:w="28" w:type="dxa"/>
        </w:tblCellMar>
      </w:tblPr>
      <w:tblGrid>
        <w:gridCol w:w="363"/>
        <w:gridCol w:w="318"/>
        <w:gridCol w:w="325"/>
        <w:gridCol w:w="109"/>
        <w:gridCol w:w="109"/>
        <w:gridCol w:w="196"/>
        <w:gridCol w:w="556"/>
        <w:gridCol w:w="109"/>
        <w:gridCol w:w="109"/>
        <w:gridCol w:w="109"/>
        <w:gridCol w:w="109"/>
        <w:gridCol w:w="109"/>
        <w:gridCol w:w="109"/>
        <w:gridCol w:w="239"/>
        <w:gridCol w:w="678"/>
        <w:gridCol w:w="134"/>
        <w:gridCol w:w="109"/>
        <w:gridCol w:w="109"/>
        <w:gridCol w:w="109"/>
        <w:gridCol w:w="109"/>
        <w:gridCol w:w="109"/>
        <w:gridCol w:w="350"/>
        <w:gridCol w:w="350"/>
        <w:gridCol w:w="351"/>
        <w:gridCol w:w="109"/>
        <w:gridCol w:w="109"/>
        <w:gridCol w:w="109"/>
        <w:gridCol w:w="196"/>
        <w:gridCol w:w="646"/>
        <w:gridCol w:w="109"/>
        <w:gridCol w:w="109"/>
        <w:gridCol w:w="109"/>
        <w:gridCol w:w="109"/>
        <w:gridCol w:w="109"/>
        <w:gridCol w:w="109"/>
        <w:gridCol w:w="196"/>
        <w:gridCol w:w="556"/>
        <w:gridCol w:w="109"/>
        <w:gridCol w:w="109"/>
        <w:gridCol w:w="109"/>
        <w:gridCol w:w="109"/>
        <w:gridCol w:w="229"/>
        <w:gridCol w:w="649"/>
        <w:gridCol w:w="128"/>
        <w:gridCol w:w="109"/>
        <w:gridCol w:w="109"/>
        <w:gridCol w:w="109"/>
        <w:gridCol w:w="239"/>
        <w:gridCol w:w="678"/>
        <w:gridCol w:w="134"/>
        <w:gridCol w:w="109"/>
        <w:gridCol w:w="109"/>
        <w:gridCol w:w="109"/>
        <w:gridCol w:w="109"/>
        <w:gridCol w:w="196"/>
        <w:gridCol w:w="646"/>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4143" w:type="dxa"/>
            <w:gridSpan w:val="19"/>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0"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810" w:type="dxa"/>
            <w:gridSpan w:val="13"/>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Combination - Interest Rate Reduction and Term Extension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Combination - Term Extension and Other than Insignificant Payment Delays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than Insignificant Payment Delays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Combination - Interest Rate Reduction and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4,263 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Government insured residential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5,827 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4,263 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Note 5    Income Taxes</w:t>
      </w:r>
    </w:p>
    <w:p>
      <w:pPr>
        <w:pStyle w:val="TextBody"/>
        <w:bidi w:val="0"/>
        <w:spacing w:lineRule="auto" w:line="288" w:before="160" w:after="160"/>
        <w:ind w:left="0" w:right="0" w:firstLine="360"/>
        <w:jc w:val="left"/>
        <w:rPr/>
      </w:pPr>
      <w:r>
        <w:rPr>
          <w:rFonts w:ascii="Times New Roman;serif" w:hAnsi="Times New Roman;serif"/>
          <w:b w:val="false"/>
          <w:color w:val="000000"/>
          <w:sz w:val="20"/>
        </w:rPr>
        <w:t>The Company’s effective income tax rate was 25.1% and 24.7% for the three and six months ended</w:t>
      </w:r>
      <w:r>
        <w:rPr>
          <w:color w:val="000000"/>
        </w:rPr>
        <w:t xml:space="preserve"> </w:t>
      </w:r>
      <w:r>
        <w:rPr>
          <w:rFonts w:ascii="Times New Roman;serif" w:hAnsi="Times New Roman;serif"/>
          <w:b w:val="false"/>
          <w:color w:val="000000"/>
          <w:sz w:val="20"/>
        </w:rPr>
        <w:t>June 30, 2026 and 26.8% and 26.9% for the three and six months ended June 30, 2025, respectively. The effective income tax rates differed from the statutory federal income tax rate of 21% for the three and six months ended</w:t>
      </w:r>
      <w:r>
        <w:rPr>
          <w:color w:val="000000"/>
        </w:rPr>
        <w:t xml:space="preserve"> </w:t>
      </w:r>
      <w:r>
        <w:rPr>
          <w:rFonts w:ascii="Times New Roman;serif" w:hAnsi="Times New Roman;serif"/>
          <w:b w:val="false"/>
          <w:color w:val="000000"/>
          <w:sz w:val="20"/>
        </w:rPr>
        <w:t>June 30, 2026 and 2025 primarily due to the impact of state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6    Derivative Financial Instruments</w:t>
      </w: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interest rate derivatives designated as cash flow hedges with the objective of limiting the variability of interest payment cash flows. Changes in fair value of derivative instruments designated as cash flow hedges are reported in accumulated other comprehensive income.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derivatives designated as hedging instruments as of the dates indicated (in thousands): </w:t>
      </w:r>
    </w:p>
    <w:tbl>
      <w:tblPr>
        <w:tblW w:w="10205" w:type="dxa"/>
        <w:jc w:val="left"/>
        <w:tblInd w:w="0" w:type="dxa"/>
        <w:tblLayout w:type="fixed"/>
        <w:tblCellMar>
          <w:top w:w="28" w:type="dxa"/>
          <w:left w:w="28" w:type="dxa"/>
          <w:bottom w:w="28" w:type="dxa"/>
          <w:right w:w="28" w:type="dxa"/>
        </w:tblCellMar>
      </w:tblPr>
      <w:tblGrid>
        <w:gridCol w:w="877"/>
        <w:gridCol w:w="770"/>
        <w:gridCol w:w="775"/>
        <w:gridCol w:w="216"/>
        <w:gridCol w:w="961"/>
        <w:gridCol w:w="119"/>
        <w:gridCol w:w="109"/>
        <w:gridCol w:w="109"/>
        <w:gridCol w:w="109"/>
        <w:gridCol w:w="196"/>
        <w:gridCol w:w="421"/>
        <w:gridCol w:w="109"/>
        <w:gridCol w:w="109"/>
        <w:gridCol w:w="109"/>
        <w:gridCol w:w="109"/>
        <w:gridCol w:w="196"/>
        <w:gridCol w:w="699"/>
        <w:gridCol w:w="109"/>
        <w:gridCol w:w="109"/>
        <w:gridCol w:w="109"/>
        <w:gridCol w:w="109"/>
        <w:gridCol w:w="216"/>
        <w:gridCol w:w="961"/>
        <w:gridCol w:w="119"/>
        <w:gridCol w:w="109"/>
        <w:gridCol w:w="109"/>
        <w:gridCol w:w="109"/>
        <w:gridCol w:w="196"/>
        <w:gridCol w:w="556"/>
        <w:gridCol w:w="109"/>
        <w:gridCol w:w="109"/>
        <w:gridCol w:w="109"/>
        <w:gridCol w:w="109"/>
        <w:gridCol w:w="196"/>
        <w:gridCol w:w="609"/>
        <w:gridCol w:w="160"/>
      </w:tblGrid>
      <w:tr>
        <w:trPr/>
        <w:tc>
          <w:tcPr>
            <w:tcW w:w="87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2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5434" w:type="dxa"/>
            <w:gridSpan w:val="24"/>
            <w:tcBorders/>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(1)</w:t>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cash flow hedges: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3,505,000 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4,555,000 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collar</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242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3,630,000 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4,680,000 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fair values of derivatives are included in other assets or other liabilities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48285"/>
                <wp:effectExtent l="0" t="0" r="0" b="0"/>
                <wp:wrapNone/>
                <wp:docPr id="29" name="Frame2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amount of gain (loss) related to derivatives designated as cash flow hedges reclassified from AOCI into interest income or expense for the periods indicated (in thousands):</w:t>
      </w:r>
    </w:p>
    <w:tbl>
      <w:tblPr>
        <w:tblW w:w="10205" w:type="dxa"/>
        <w:jc w:val="left"/>
        <w:tblInd w:w="0" w:type="dxa"/>
        <w:tblLayout w:type="fixed"/>
        <w:tblCellMar>
          <w:top w:w="28" w:type="dxa"/>
          <w:left w:w="28" w:type="dxa"/>
          <w:bottom w:w="28" w:type="dxa"/>
          <w:right w:w="28" w:type="dxa"/>
        </w:tblCellMar>
      </w:tblPr>
      <w:tblGrid>
        <w:gridCol w:w="1717"/>
        <w:gridCol w:w="1498"/>
        <w:gridCol w:w="1509"/>
        <w:gridCol w:w="109"/>
        <w:gridCol w:w="109"/>
        <w:gridCol w:w="109"/>
        <w:gridCol w:w="216"/>
        <w:gridCol w:w="633"/>
        <w:gridCol w:w="111"/>
        <w:gridCol w:w="111"/>
        <w:gridCol w:w="111"/>
        <w:gridCol w:w="111"/>
        <w:gridCol w:w="216"/>
        <w:gridCol w:w="633"/>
        <w:gridCol w:w="111"/>
        <w:gridCol w:w="109"/>
        <w:gridCol w:w="109"/>
        <w:gridCol w:w="109"/>
        <w:gridCol w:w="211"/>
        <w:gridCol w:w="616"/>
        <w:gridCol w:w="109"/>
        <w:gridCol w:w="109"/>
        <w:gridCol w:w="109"/>
        <w:gridCol w:w="109"/>
        <w:gridCol w:w="211"/>
        <w:gridCol w:w="721"/>
        <w:gridCol w:w="109"/>
        <w:gridCol w:w="109"/>
        <w:gridCol w:w="161"/>
      </w:tblGrid>
      <w:tr>
        <w:trPr/>
        <w:tc>
          <w:tcPr>
            <w:tcW w:w="171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2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70" w:type="dxa"/>
            <w:gridSpan w:val="2"/>
            <w:tcBorders/>
          </w:tcPr>
          <w:p>
            <w:pPr>
              <w:pStyle w:val="TableContents"/>
              <w:bidi w:val="0"/>
              <w:spacing w:before="0" w:after="283"/>
              <w:jc w:val="left"/>
              <w:rPr>
                <w:sz w:val="4"/>
                <w:szCs w:val="4"/>
              </w:rPr>
            </w:pPr>
            <w:r>
              <w:rPr>
                <w:sz w:val="4"/>
                <w:szCs w:val="4"/>
              </w:rPr>
            </w:r>
          </w:p>
        </w:tc>
      </w:tr>
      <w:tr>
        <w:trPr/>
        <w:tc>
          <w:tcPr>
            <w:tcW w:w="47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of gain (loss) reclassified from AOCI into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pPr>
      <w:r>
        <w:rPr>
          <w:rFonts w:ascii="Times New Roman;serif" w:hAnsi="Times New Roman;serif"/>
          <w:b w:val="false"/>
          <w:color w:val="000000"/>
          <w:sz w:val="20"/>
        </w:rPr>
        <w:t>During the three and six months ended</w:t>
      </w:r>
      <w:r>
        <w:rPr>
          <w:color w:val="000000"/>
        </w:rPr>
        <w:t xml:space="preserve"> </w:t>
      </w:r>
      <w:r>
        <w:rPr>
          <w:rFonts w:ascii="Times New Roman;serif" w:hAnsi="Times New Roman;serif"/>
          <w:b w:val="false"/>
          <w:color w:val="000000"/>
          <w:sz w:val="20"/>
        </w:rPr>
        <w:t>June 30, 2026 and 2025, no derivative positions designated as cash flow hedges were discontinued and none of the gains and losses reported in AOCI were reclassified into earnings as a result of the discontinuance of cash flow hedges or because of the early extinguishment of debt.</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the amount of net loss expected to be reclassified from AOCI into earnings during the next 12 months was $7.7 million, based on the forward curve. See Note 7 to the consolidated financial statements for additional information about the reclassification adjustments from AOCI into earnings.</w:t>
      </w: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enters into interest rate derivative contracts with certain of its commercial borrowers to enable those borrowers to manage their exposure to interest rate fluctuations. To mitigate interest rate risk associated with these derivative contracts, the Company enters into offsetting derivative contract positions with primary dealers. In addition, the Company purchases and sells credit protection under RPAs with the objective of sharing with financial institution counterparties some of the credit exposure related to interest rate derivative contracts entered into with commercial borrowers related to participations purchased or sold. The Company will make or receive payments under these agreements if a customer defaults on an obligation to perform under certain interest rate derivative contracts. The Company also enters into foreign currency forward derivative contracts with commercial borrowers to enable borrowers to manage their exposure to foreign currency fluctuations. The Company enters into offsetting forward contracts with primary dealers to mitigate the foreign currency risk associated with these contracts.</w:t>
      </w:r>
    </w:p>
    <w:p>
      <w:pPr>
        <w:pStyle w:val="TextBody"/>
        <w:bidi w:val="0"/>
        <w:spacing w:lineRule="auto" w:line="288" w:before="160" w:after="283"/>
        <w:ind w:left="0" w:right="0" w:firstLine="360"/>
        <w:jc w:val="left"/>
        <w:rPr/>
      </w:pPr>
      <w:r>
        <w:rPr>
          <w:rFonts w:ascii="Times New Roman;serif" w:hAnsi="Times New Roman;serif"/>
          <w:b w:val="false"/>
          <w:color w:val="000000"/>
          <w:sz w:val="20"/>
        </w:rPr>
        <w:t>These derivative contracts are not designated as hedging instruments; therefore, changes in the fair value of these derivatives are recognized in earnings. Fees recognized related to these derivative instruments were $6.8 million and $9.4 million for the three and six months ended</w:t>
      </w:r>
      <w:r>
        <w:rPr>
          <w:color w:val="000000"/>
        </w:rPr>
        <w:t xml:space="preserve"> </w:t>
      </w:r>
      <w:r>
        <w:rPr>
          <w:rFonts w:ascii="Times New Roman;serif" w:hAnsi="Times New Roman;serif"/>
          <w:b w:val="false"/>
          <w:color w:val="000000"/>
          <w:sz w:val="20"/>
        </w:rPr>
        <w:t>June 30, 2026, respectively, and $3.6 million and $6.9 million for the three and six months ended June 30, 2025. These fees are included in "capital markets income" in the accompanying consolidated statements of income.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may be exposed to credit risk in the event of non-performance by the counterparties to its commercial customer derivative agreements. The Company assesses the credit risk of its financial institution counterparties by monitoring publicly available credit rating and financial information. The Company manages dealer credit risk by entering into derivatives only with primary and highly rated counterparties, the use of ISDA master agreements, central clearing mechanisms and counterparty limits. The agreements contain bilateral collateral arrangements with the amount of collateral to be posted generally governed by the settlement value of outstanding swaps. The Company manages the risk of default by its commercial borrower counterparties through its normal loan underwriting and credit monitoring policies and procedures. The Company does not currently anticipate any significant losses from failure of derivative counterparties to honor their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48285"/>
                <wp:effectExtent l="0" t="0" r="0" b="0"/>
                <wp:wrapNone/>
                <wp:docPr id="30" name="Frame3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derivatives not designated as hedging instruments as of the dates indicated (in thousands):</w:t>
      </w:r>
    </w:p>
    <w:tbl>
      <w:tblPr>
        <w:tblW w:w="10205" w:type="dxa"/>
        <w:jc w:val="left"/>
        <w:tblInd w:w="0" w:type="dxa"/>
        <w:tblLayout w:type="fixed"/>
        <w:tblCellMar>
          <w:top w:w="28" w:type="dxa"/>
          <w:left w:w="28" w:type="dxa"/>
          <w:bottom w:w="28" w:type="dxa"/>
          <w:right w:w="28" w:type="dxa"/>
        </w:tblCellMar>
      </w:tblPr>
      <w:tblGrid>
        <w:gridCol w:w="791"/>
        <w:gridCol w:w="616"/>
        <w:gridCol w:w="618"/>
        <w:gridCol w:w="204"/>
        <w:gridCol w:w="1001"/>
        <w:gridCol w:w="113"/>
        <w:gridCol w:w="109"/>
        <w:gridCol w:w="109"/>
        <w:gridCol w:w="109"/>
        <w:gridCol w:w="196"/>
        <w:gridCol w:w="646"/>
        <w:gridCol w:w="109"/>
        <w:gridCol w:w="109"/>
        <w:gridCol w:w="109"/>
        <w:gridCol w:w="109"/>
        <w:gridCol w:w="196"/>
        <w:gridCol w:w="693"/>
        <w:gridCol w:w="109"/>
        <w:gridCol w:w="109"/>
        <w:gridCol w:w="109"/>
        <w:gridCol w:w="109"/>
        <w:gridCol w:w="212"/>
        <w:gridCol w:w="947"/>
        <w:gridCol w:w="118"/>
        <w:gridCol w:w="109"/>
        <w:gridCol w:w="109"/>
        <w:gridCol w:w="109"/>
        <w:gridCol w:w="196"/>
        <w:gridCol w:w="646"/>
        <w:gridCol w:w="109"/>
        <w:gridCol w:w="109"/>
        <w:gridCol w:w="109"/>
        <w:gridCol w:w="109"/>
        <w:gridCol w:w="196"/>
        <w:gridCol w:w="693"/>
        <w:gridCol w:w="161"/>
      </w:tblGrid>
      <w:tr>
        <w:trPr/>
        <w:tc>
          <w:tcPr>
            <w:tcW w:w="79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584" w:type="dxa"/>
            <w:gridSpan w:val="24"/>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(1)</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Pay-fixed interest rate swaps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4,640,723 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4,136,758 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(50,883)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Pay-variable interest rate swaps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4,640,723 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4,136,758 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caps and collars purchased</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caps and collars sold</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RPAs purchased</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304,584 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RPAs sold</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419,233 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10,537,079 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9,437,677 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(77,861)</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(1)Fair values of these derivatives are included in other assets and other liabilities in the consolidated balance sheets. The notional amount and fair value of the foreign currency forward derivative contracts not designated as hedging instruments were not significant at June 30, 2026 and December 31, 2025.</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the Company’s ISDA master agreements with financial institution counterparties contain provisions that permit either counterparty to terminate the agreements and require settlement in the event that regulatory capital ratios fall below certain designated thresholds, upon the initiation of other defined regulatory actions or upon suspension or withdrawal of the Bank’s credit rating. Currently, there are no circumstances that would trigger these provisions of the agreements.</w:t>
      </w: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Master netting agreements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offset assets and liabilities under master netting agreements for financial reporting purposes. Information on interest rate derivative instruments subject to these agreements is as follows at the dates indicated (in thousands): </w:t>
      </w:r>
    </w:p>
    <w:tbl>
      <w:tblPr>
        <w:tblW w:w="10205" w:type="dxa"/>
        <w:jc w:val="left"/>
        <w:tblInd w:w="0" w:type="dxa"/>
        <w:tblLayout w:type="fixed"/>
        <w:tblCellMar>
          <w:top w:w="28" w:type="dxa"/>
          <w:left w:w="28" w:type="dxa"/>
          <w:bottom w:w="28" w:type="dxa"/>
          <w:right w:w="28" w:type="dxa"/>
        </w:tblCellMar>
      </w:tblPr>
      <w:tblGrid>
        <w:gridCol w:w="430"/>
        <w:gridCol w:w="378"/>
        <w:gridCol w:w="380"/>
        <w:gridCol w:w="246"/>
        <w:gridCol w:w="842"/>
        <w:gridCol w:w="128"/>
        <w:gridCol w:w="109"/>
        <w:gridCol w:w="109"/>
        <w:gridCol w:w="109"/>
        <w:gridCol w:w="478"/>
        <w:gridCol w:w="921"/>
        <w:gridCol w:w="249"/>
        <w:gridCol w:w="109"/>
        <w:gridCol w:w="109"/>
        <w:gridCol w:w="109"/>
        <w:gridCol w:w="270"/>
        <w:gridCol w:w="924"/>
        <w:gridCol w:w="140"/>
        <w:gridCol w:w="109"/>
        <w:gridCol w:w="109"/>
        <w:gridCol w:w="109"/>
        <w:gridCol w:w="211"/>
        <w:gridCol w:w="751"/>
        <w:gridCol w:w="109"/>
        <w:gridCol w:w="109"/>
        <w:gridCol w:w="109"/>
        <w:gridCol w:w="109"/>
        <w:gridCol w:w="211"/>
        <w:gridCol w:w="751"/>
        <w:gridCol w:w="109"/>
        <w:gridCol w:w="109"/>
        <w:gridCol w:w="109"/>
        <w:gridCol w:w="109"/>
        <w:gridCol w:w="222"/>
        <w:gridCol w:w="650"/>
        <w:gridCol w:w="170"/>
      </w:tblGrid>
      <w:tr>
        <w:trPr/>
        <w:tc>
          <w:tcPr>
            <w:tcW w:w="43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188"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7801" w:type="dxa"/>
            <w:gridSpan w:val="30"/>
            <w:tcBorders/>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Offset in Balance</w:t>
              <w:br/>
              <w:t>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Presented in</w:t>
              <w:br/>
              <w:t>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w:t>
              <w:br/>
              <w:t>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w:t>
              <w:br/>
              <w:t>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Collateral</w:t>
              <w:br/>
              <w:t>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(35,093)</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(35,093)</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33"/>
        <w:gridCol w:w="381"/>
        <w:gridCol w:w="383"/>
        <w:gridCol w:w="242"/>
        <w:gridCol w:w="847"/>
        <w:gridCol w:w="127"/>
        <w:gridCol w:w="109"/>
        <w:gridCol w:w="109"/>
        <w:gridCol w:w="109"/>
        <w:gridCol w:w="482"/>
        <w:gridCol w:w="928"/>
        <w:gridCol w:w="250"/>
        <w:gridCol w:w="109"/>
        <w:gridCol w:w="109"/>
        <w:gridCol w:w="109"/>
        <w:gridCol w:w="254"/>
        <w:gridCol w:w="958"/>
        <w:gridCol w:w="131"/>
        <w:gridCol w:w="109"/>
        <w:gridCol w:w="109"/>
        <w:gridCol w:w="109"/>
        <w:gridCol w:w="211"/>
        <w:gridCol w:w="752"/>
        <w:gridCol w:w="109"/>
        <w:gridCol w:w="109"/>
        <w:gridCol w:w="109"/>
        <w:gridCol w:w="109"/>
        <w:gridCol w:w="211"/>
        <w:gridCol w:w="721"/>
        <w:gridCol w:w="109"/>
        <w:gridCol w:w="109"/>
        <w:gridCol w:w="109"/>
        <w:gridCol w:w="109"/>
        <w:gridCol w:w="222"/>
        <w:gridCol w:w="650"/>
        <w:gridCol w:w="169"/>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9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7792" w:type="dxa"/>
            <w:gridSpan w:val="30"/>
            <w:tcBorders/>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Offset in Balance</w:t>
              <w:br/>
              <w:t>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Presented in</w:t>
              <w:br/>
              <w:t>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w:t>
              <w:br/>
              <w:t>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w:t>
              <w:br/>
              <w:t>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Collateral</w:t>
              <w:br/>
              <w:t>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(52,880)</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(52,880)</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(19,051)</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(19,051)</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difference between the amounts reported for interest rate swaps subject to master netting agreements and the total fair value of interest rate contract derivative financial instruments reported in the consolidated balance sheets is related to interest rate derivative contracts not subject to master netting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48285"/>
                <wp:effectExtent l="0" t="0" r="0" b="0"/>
                <wp:wrapNone/>
                <wp:docPr id="31" name="Frame3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7    Stockholders’ Equity</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Accumulated Other Comprehensive Income</w:t>
      </w:r>
    </w:p>
    <w:p>
      <w:pPr>
        <w:pStyle w:val="TextBody"/>
        <w:bidi w:val="0"/>
        <w:spacing w:lineRule="auto" w:line="288" w:before="16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other comprehensive income are summarized as follows for the periods indicated (in thousands):</w:t>
      </w:r>
    </w:p>
    <w:tbl>
      <w:tblPr>
        <w:tblW w:w="10205" w:type="dxa"/>
        <w:jc w:val="left"/>
        <w:tblInd w:w="0" w:type="dxa"/>
        <w:tblLayout w:type="fixed"/>
        <w:tblCellMar>
          <w:top w:w="28" w:type="dxa"/>
          <w:left w:w="28" w:type="dxa"/>
          <w:bottom w:w="28" w:type="dxa"/>
          <w:right w:w="28" w:type="dxa"/>
        </w:tblCellMar>
      </w:tblPr>
      <w:tblGrid>
        <w:gridCol w:w="1193"/>
        <w:gridCol w:w="708"/>
        <w:gridCol w:w="710"/>
        <w:gridCol w:w="211"/>
        <w:gridCol w:w="750"/>
        <w:gridCol w:w="109"/>
        <w:gridCol w:w="109"/>
        <w:gridCol w:w="109"/>
        <w:gridCol w:w="109"/>
        <w:gridCol w:w="211"/>
        <w:gridCol w:w="616"/>
        <w:gridCol w:w="109"/>
        <w:gridCol w:w="109"/>
        <w:gridCol w:w="109"/>
        <w:gridCol w:w="109"/>
        <w:gridCol w:w="211"/>
        <w:gridCol w:w="750"/>
        <w:gridCol w:w="109"/>
        <w:gridCol w:w="109"/>
        <w:gridCol w:w="109"/>
        <w:gridCol w:w="109"/>
        <w:gridCol w:w="211"/>
        <w:gridCol w:w="616"/>
        <w:gridCol w:w="109"/>
        <w:gridCol w:w="109"/>
        <w:gridCol w:w="109"/>
        <w:gridCol w:w="109"/>
        <w:gridCol w:w="211"/>
        <w:gridCol w:w="645"/>
        <w:gridCol w:w="109"/>
        <w:gridCol w:w="109"/>
        <w:gridCol w:w="109"/>
        <w:gridCol w:w="109"/>
        <w:gridCol w:w="211"/>
        <w:gridCol w:w="616"/>
        <w:gridCol w:w="155"/>
      </w:tblGrid>
      <w:tr>
        <w:trPr/>
        <w:tc>
          <w:tcPr>
            <w:tcW w:w="119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of Tax</w:t>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gains (losses) on investment securities available for sale:</w:t>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holding gains (losses) arising during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to gain on investment securities available for sale,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gains (losses) on investment securities available for sale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derivative instruments: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unrealized holding gains (losses) arising during the period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interest expense on deposits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to interest expense on borrowings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interest income on loans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gains (losses) on derivative instruments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01"/>
        <w:gridCol w:w="601"/>
        <w:gridCol w:w="603"/>
        <w:gridCol w:w="211"/>
        <w:gridCol w:w="746"/>
        <w:gridCol w:w="109"/>
        <w:gridCol w:w="109"/>
        <w:gridCol w:w="109"/>
        <w:gridCol w:w="109"/>
        <w:gridCol w:w="211"/>
        <w:gridCol w:w="616"/>
        <w:gridCol w:w="109"/>
        <w:gridCol w:w="109"/>
        <w:gridCol w:w="109"/>
        <w:gridCol w:w="109"/>
        <w:gridCol w:w="211"/>
        <w:gridCol w:w="746"/>
        <w:gridCol w:w="109"/>
        <w:gridCol w:w="109"/>
        <w:gridCol w:w="109"/>
        <w:gridCol w:w="109"/>
        <w:gridCol w:w="211"/>
        <w:gridCol w:w="721"/>
        <w:gridCol w:w="109"/>
        <w:gridCol w:w="109"/>
        <w:gridCol w:w="109"/>
        <w:gridCol w:w="109"/>
        <w:gridCol w:w="211"/>
        <w:gridCol w:w="746"/>
        <w:gridCol w:w="109"/>
        <w:gridCol w:w="109"/>
        <w:gridCol w:w="109"/>
        <w:gridCol w:w="109"/>
        <w:gridCol w:w="211"/>
        <w:gridCol w:w="721"/>
        <w:gridCol w:w="158"/>
      </w:tblGrid>
      <w:tr>
        <w:trPr/>
        <w:tc>
          <w:tcPr>
            <w:tcW w:w="11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of Tax</w:t>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gains (losses) on investment securities available for sale:</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holding gains (losses) arising during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to gain on investment securities available for sale, net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gains (losses) on investment securities available for sale</w:t>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55,966 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derivative instruments:</w:t>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holding gains (losses) arising during the period</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interest expense on deposits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to interest expense on borrowings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(8,225)</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interest income on loans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gains (losses) on derivative instruments</w:t>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48285"/>
                <wp:effectExtent l="0" t="0" r="0" b="0"/>
                <wp:wrapNone/>
                <wp:docPr id="32" name="Frame3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16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categories of AOCI and changes therein are presented below for the periods indicated (in thousands):</w:t>
      </w:r>
    </w:p>
    <w:tbl>
      <w:tblPr>
        <w:tblW w:w="9688" w:type="dxa"/>
        <w:jc w:val="left"/>
        <w:tblInd w:w="0" w:type="dxa"/>
        <w:tblLayout w:type="fixed"/>
        <w:tblCellMar>
          <w:top w:w="28" w:type="dxa"/>
          <w:left w:w="28" w:type="dxa"/>
          <w:bottom w:w="28" w:type="dxa"/>
          <w:right w:w="28" w:type="dxa"/>
        </w:tblCellMar>
      </w:tblPr>
      <w:tblGrid>
        <w:gridCol w:w="1073"/>
        <w:gridCol w:w="945"/>
        <w:gridCol w:w="951"/>
        <w:gridCol w:w="362"/>
        <w:gridCol w:w="1445"/>
        <w:gridCol w:w="187"/>
        <w:gridCol w:w="109"/>
        <w:gridCol w:w="109"/>
        <w:gridCol w:w="109"/>
        <w:gridCol w:w="567"/>
        <w:gridCol w:w="1943"/>
        <w:gridCol w:w="295"/>
        <w:gridCol w:w="109"/>
        <w:gridCol w:w="109"/>
        <w:gridCol w:w="109"/>
        <w:gridCol w:w="211"/>
        <w:gridCol w:w="901"/>
        <w:gridCol w:w="154"/>
      </w:tblGrid>
      <w:tr>
        <w:trPr/>
        <w:tc>
          <w:tcPr>
            <w:tcW w:w="107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 (Loss) 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Investment Securities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Available for 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 (Loss) on Derivative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(202,806)</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(208,881)</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(250,105)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13,871 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(244,195)</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12,952 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(231,243)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53" w:type="dxa"/>
        <w:jc w:val="left"/>
        <w:tblInd w:w="0" w:type="dxa"/>
        <w:tblLayout w:type="fixed"/>
        <w:tblCellMar>
          <w:top w:w="28" w:type="dxa"/>
          <w:left w:w="28" w:type="dxa"/>
          <w:bottom w:w="28" w:type="dxa"/>
          <w:right w:w="28" w:type="dxa"/>
        </w:tblCellMar>
      </w:tblPr>
      <w:tblGrid>
        <w:gridCol w:w="1075"/>
        <w:gridCol w:w="944"/>
        <w:gridCol w:w="950"/>
        <w:gridCol w:w="362"/>
        <w:gridCol w:w="1445"/>
        <w:gridCol w:w="187"/>
        <w:gridCol w:w="109"/>
        <w:gridCol w:w="109"/>
        <w:gridCol w:w="109"/>
        <w:gridCol w:w="358"/>
        <w:gridCol w:w="1226"/>
        <w:gridCol w:w="186"/>
        <w:gridCol w:w="109"/>
        <w:gridCol w:w="109"/>
        <w:gridCol w:w="109"/>
        <w:gridCol w:w="211"/>
        <w:gridCol w:w="90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(Loss) on</w:t>
              <w:br/>
              <w:t>Investment Securities</w:t>
              <w:br/>
              <w:t>Available for 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(Loss)</w:t>
              <w:br/>
              <w:t>on Derivative</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(197,673)</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(208,881)</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(300,161)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55,966 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(244,195)</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(231,243)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48285"/>
                <wp:effectExtent l="0" t="0" r="0" b="0"/>
                <wp:wrapNone/>
                <wp:docPr id="33" name="Frame3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8    Fair Value Measurements</w:t>
      </w:r>
    </w:p>
    <w:p>
      <w:pPr>
        <w:pStyle w:val="TextBody"/>
        <w:bidi w:val="0"/>
        <w:spacing w:lineRule="auto" w:line="288" w:before="16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the methodologies used to estimate the fair values of assets and liabilities measured at fair value on a recurring basis and the level within the fair value hierarchy in which those measurements are typically classified.</w:t>
      </w:r>
    </w:p>
    <w:p>
      <w:pPr>
        <w:pStyle w:val="TextBody"/>
        <w:bidi w:val="0"/>
        <w:spacing w:lineRule="auto" w:line="288" w:before="160" w:after="160"/>
        <w:ind w:left="0" w:right="0" w:firstLine="360"/>
        <w:jc w:val="left"/>
        <w:rPr/>
      </w:pPr>
      <w:r>
        <w:rPr>
          <w:rFonts w:ascii="Times New Roman;serif" w:hAnsi="Times New Roman;serif"/>
          <w:b w:val="false"/>
          <w:i/>
          <w:color w:val="000000"/>
          <w:sz w:val="20"/>
        </w:rPr>
        <w:t>Investment securities available for sale and marketable equity securities</w:t>
      </w:r>
      <w:r>
        <w:rPr>
          <w:color w:val="000000"/>
        </w:rPr>
        <w:t>—</w:t>
      </w:r>
      <w:r>
        <w:rPr>
          <w:rFonts w:ascii="Times New Roman;serif" w:hAnsi="Times New Roman;serif"/>
          <w:b w:val="false"/>
          <w:color w:val="000000"/>
          <w:sz w:val="20"/>
        </w:rPr>
        <w:t>Fair value measurements are based on quoted prices in active markets when available; these measurements are classified within level 1 of the fair value hierarchy. These securities typically include U.S. Treasury securities and certain preferred stocks. If quoted prices in active markets are not available, fair values are estimated using quoted prices of securities with similar characteristics, quoted prices of identical securities in less active markets, discounted cash flow techniques, or matrix pricing models. These securities are generally classified within level 2 of the fair value hierarchy and typically include all categories of investment securities not classified within level 1 of the hierarchy. Pricing of these securities is generally primarily spread driven. Observable inputs that may impact the valuation of these securities include benchmark yield curves, credit spreads, reported trades, dealer quotes, bids, issuer spreads, current rating, historical constant prepayment rates, historical voluntary prepayment rates, structural and waterfall features of individual securities, published collateral data, and for certain securities, historical constant default rates and default severities.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uses third-party pricing services in determining fair value measurements for investment securities. To obtain an understanding of the methodologies and assumptions used, management reviews written documentation provided by the pricing services, conducts interviews with valuation desk personnel and reviews model results and detailed assumptions used to value selected securities as considered necessary. Management has established a robust price challenge process that includes a review by the treasury front office of all prices provided on a quarterly basis. Any price evidencing significant unexpected quarter-over-quarter fluctuations or deviations from expectations is challenged. The Company has also established a quarterly process whereby prices provided by its primary pricing service are validated by obtaining a price from a second external source for most securities in the portfolio. If considered necessary to resolve any discrepancies, a price will be obtained from an additional independent valuation source. The Company does not typically adjust the prices provided, other than through this established challenge process. The results of price challenges are subject to review by executive management. Any price discrepancies are resolved based on careful consideration of the assumptions and inputs employed by each of the pricing sources.</w:t>
      </w:r>
    </w:p>
    <w:p>
      <w:pPr>
        <w:pStyle w:val="TextBody"/>
        <w:bidi w:val="0"/>
        <w:spacing w:lineRule="auto" w:line="288" w:before="160" w:after="160"/>
        <w:ind w:left="0" w:right="0" w:firstLine="360"/>
        <w:jc w:val="left"/>
        <w:rPr/>
      </w:pPr>
      <w:r>
        <w:rPr>
          <w:rFonts w:ascii="Times New Roman;serif" w:hAnsi="Times New Roman;serif"/>
          <w:b w:val="false"/>
          <w:i/>
          <w:color w:val="000000"/>
          <w:sz w:val="20"/>
        </w:rPr>
        <w:t>Derivative financial instruments</w:t>
      </w:r>
      <w:r>
        <w:rPr>
          <w:color w:val="000000"/>
        </w:rPr>
        <w:t>—</w:t>
      </w:r>
      <w:r>
        <w:rPr>
          <w:rFonts w:ascii="Times New Roman;serif" w:hAnsi="Times New Roman;serif"/>
          <w:b w:val="false"/>
          <w:color w:val="000000"/>
          <w:sz w:val="20"/>
        </w:rPr>
        <w:t>Fair values of interest rate derivatives are determined using widely accepted discounted cash flow modeling techniques. These discounted cash flow models use projections of future cash payments and receipts that are discounted at mid-market rates. Observable inputs that may impact the valuation of these instruments include benchmark swap rates and benchmark forward yield curves. These fair value measurements are generally classified within level 2 of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48285"/>
                <wp:effectExtent l="0" t="0" r="0" b="0"/>
                <wp:wrapNone/>
                <wp:docPr id="34" name="Frame3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assets and liabilities measured at fair value on a recurring basis at the dates indicated (in thousands):</w:t>
      </w:r>
    </w:p>
    <w:tbl>
      <w:tblPr>
        <w:tblW w:w="10076" w:type="dxa"/>
        <w:jc w:val="left"/>
        <w:tblInd w:w="0" w:type="dxa"/>
        <w:tblLayout w:type="fixed"/>
        <w:tblCellMar>
          <w:top w:w="28" w:type="dxa"/>
          <w:left w:w="28" w:type="dxa"/>
          <w:bottom w:w="28" w:type="dxa"/>
          <w:right w:w="28" w:type="dxa"/>
        </w:tblCellMar>
      </w:tblPr>
      <w:tblGrid>
        <w:gridCol w:w="2043"/>
        <w:gridCol w:w="1795"/>
        <w:gridCol w:w="1801"/>
        <w:gridCol w:w="211"/>
        <w:gridCol w:w="826"/>
        <w:gridCol w:w="109"/>
        <w:gridCol w:w="109"/>
        <w:gridCol w:w="109"/>
        <w:gridCol w:w="109"/>
        <w:gridCol w:w="211"/>
        <w:gridCol w:w="976"/>
        <w:gridCol w:w="109"/>
        <w:gridCol w:w="109"/>
        <w:gridCol w:w="109"/>
        <w:gridCol w:w="109"/>
        <w:gridCol w:w="211"/>
        <w:gridCol w:w="976"/>
        <w:gridCol w:w="154"/>
      </w:tblGrid>
      <w:tr>
        <w:trPr/>
        <w:tc>
          <w:tcPr>
            <w:tcW w:w="2043"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 for sale:</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307,677 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residential MBS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2,229,375 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commercial MBS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 residential MBS and CMOs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2,526,164 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 commercial MBS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2,364,360 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 family real estate-backed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Non-mortgage 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9,066,357 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9,379,786 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(77,917)</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76" w:type="dxa"/>
        <w:jc w:val="left"/>
        <w:tblInd w:w="0" w:type="dxa"/>
        <w:tblLayout w:type="fixed"/>
        <w:tblCellMar>
          <w:top w:w="28" w:type="dxa"/>
          <w:left w:w="28" w:type="dxa"/>
          <w:bottom w:w="28" w:type="dxa"/>
          <w:right w:w="28" w:type="dxa"/>
        </w:tblCellMar>
      </w:tblPr>
      <w:tblGrid>
        <w:gridCol w:w="2043"/>
        <w:gridCol w:w="1795"/>
        <w:gridCol w:w="1801"/>
        <w:gridCol w:w="211"/>
        <w:gridCol w:w="826"/>
        <w:gridCol w:w="109"/>
        <w:gridCol w:w="109"/>
        <w:gridCol w:w="109"/>
        <w:gridCol w:w="109"/>
        <w:gridCol w:w="211"/>
        <w:gridCol w:w="976"/>
        <w:gridCol w:w="109"/>
        <w:gridCol w:w="109"/>
        <w:gridCol w:w="109"/>
        <w:gridCol w:w="109"/>
        <w:gridCol w:w="211"/>
        <w:gridCol w:w="976"/>
        <w:gridCol w:w="154"/>
      </w:tblGrid>
      <w:tr>
        <w:trPr/>
        <w:tc>
          <w:tcPr>
            <w:tcW w:w="2043"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91" w:type="dxa"/>
            <w:gridSpan w:val="12"/>
            <w:tcBorders/>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 for sale:</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residential MBS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2,563,027 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commercial MBS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 residential MBS and CMOs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2,490,828 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 commercial MBS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 family real estate-backed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Non-mortgage 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9,074,420 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9,348,807 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(79,816)</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4605" cy="14605"/>
                <wp:effectExtent l="0" t="0" r="0" b="0"/>
                <wp:wrapNone/>
                <wp:docPr id="35" name="Frame3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non-recurring basis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the methodologies used to estimate the fair values of assets and liabilities that may be measured at fair value on a non-recurring basis, and the level within the fair value hierarchy in which those measurements are typically classified:</w:t>
      </w:r>
    </w:p>
    <w:p>
      <w:pPr>
        <w:pStyle w:val="TextBody"/>
        <w:bidi w:val="0"/>
        <w:spacing w:lineRule="auto" w:line="288" w:before="160" w:after="160"/>
        <w:ind w:left="0" w:right="0" w:firstLine="360"/>
        <w:jc w:val="left"/>
        <w:rPr/>
      </w:pPr>
      <w:r>
        <w:rPr>
          <w:rFonts w:ascii="Times New Roman;serif" w:hAnsi="Times New Roman;serif"/>
          <w:b w:val="false"/>
          <w:i/>
          <w:color w:val="000000"/>
          <w:sz w:val="20"/>
        </w:rPr>
        <w:t>Collateral dependent loans and OREO</w:t>
      </w:r>
      <w:r>
        <w:rPr>
          <w:color w:val="000000"/>
        </w:rPr>
        <w:t>—</w:t>
      </w:r>
      <w:r>
        <w:rPr>
          <w:rFonts w:ascii="Times New Roman;serif" w:hAnsi="Times New Roman;serif"/>
          <w:b w:val="false"/>
          <w:color w:val="000000"/>
          <w:sz w:val="20"/>
        </w:rPr>
        <w:t>The carrying amount of collateral dependent loans is typically based on the fair value of the underlying collateral, which may be real estate, enterprise value or other business assets, less estimated costs to sell when repayment is expected to come from the sale of the collateral. The carrying value of OREO is initially measured based on the fair value of the real estate acquired in foreclosure and subsequently adjusted to the lower of cost or estimated fair value, less estimated cost to sell. Fair values of real estate collateral and OREO are typically based on third-party real estate appraisals which utilize market and income approaches to valuation incorporating both observable and unobservable inputs.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Fair value measurements related to collateral dependent loans and OREO are generally classified within level 3 of the fair value hierarchy.</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net carrying value of assets classified within level 3 of the fair value hierarchy at the dates indicated, for which non-recurring changes in fair value were recorded during the period then ended (in thousands):</w:t>
      </w:r>
    </w:p>
    <w:tbl>
      <w:tblPr>
        <w:tblW w:w="5304" w:type="dxa"/>
        <w:jc w:val="left"/>
        <w:tblInd w:w="0" w:type="dxa"/>
        <w:tblLayout w:type="fixed"/>
        <w:tblCellMar>
          <w:top w:w="28" w:type="dxa"/>
          <w:left w:w="28" w:type="dxa"/>
          <w:bottom w:w="28" w:type="dxa"/>
          <w:right w:w="28" w:type="dxa"/>
        </w:tblCellMar>
      </w:tblPr>
      <w:tblGrid>
        <w:gridCol w:w="835"/>
        <w:gridCol w:w="736"/>
        <w:gridCol w:w="738"/>
        <w:gridCol w:w="228"/>
        <w:gridCol w:w="779"/>
        <w:gridCol w:w="117"/>
        <w:gridCol w:w="109"/>
        <w:gridCol w:w="109"/>
        <w:gridCol w:w="109"/>
        <w:gridCol w:w="273"/>
        <w:gridCol w:w="1072"/>
        <w:gridCol w:w="199"/>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 dependent loans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74,984 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183,259 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OREO</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75,947 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183,771 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value and fair value of financial instruments and the level within the fair value hierarchy in which those measurements are classified at the dates indicated (dollars in thousands):</w:t>
      </w:r>
    </w:p>
    <w:tbl>
      <w:tblPr>
        <w:tblW w:w="10205" w:type="dxa"/>
        <w:jc w:val="left"/>
        <w:tblInd w:w="0" w:type="dxa"/>
        <w:tblLayout w:type="fixed"/>
        <w:tblCellMar>
          <w:top w:w="28" w:type="dxa"/>
          <w:left w:w="28" w:type="dxa"/>
          <w:bottom w:w="28" w:type="dxa"/>
          <w:right w:w="28" w:type="dxa"/>
        </w:tblCellMar>
      </w:tblPr>
      <w:tblGrid>
        <w:gridCol w:w="1093"/>
        <w:gridCol w:w="825"/>
        <w:gridCol w:w="832"/>
        <w:gridCol w:w="165"/>
        <w:gridCol w:w="165"/>
        <w:gridCol w:w="166"/>
        <w:gridCol w:w="109"/>
        <w:gridCol w:w="109"/>
        <w:gridCol w:w="10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56"/>
      </w:tblGrid>
      <w:tr>
        <w:trPr/>
        <w:tc>
          <w:tcPr>
            <w:tcW w:w="109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5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503" w:type="dxa"/>
            <w:gridSpan w:val="12"/>
            <w:tcBorders/>
          </w:tcPr>
          <w:p>
            <w:pPr>
              <w:pStyle w:val="TableContents"/>
              <w:bidi w:val="0"/>
              <w:spacing w:before="0" w:after="283"/>
              <w:jc w:val="left"/>
              <w:rPr>
                <w:sz w:val="4"/>
                <w:szCs w:val="4"/>
              </w:rPr>
            </w:pPr>
            <w:r>
              <w:rPr>
                <w:sz w:val="4"/>
                <w:szCs w:val="4"/>
              </w:rPr>
            </w:r>
          </w:p>
        </w:tc>
      </w:tr>
      <w:tr>
        <w:trPr/>
        <w:tc>
          <w:tcPr>
            <w:tcW w:w="2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securities </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9,263,651 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9,263,651 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net</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23,394,467 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24,053,882 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23,707,267 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Demand, savings and money market deposits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26,512,467 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26,512,467 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25,464,221 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25,464,221 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3,887,392 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Federal funds purchased </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1,555,021 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borrowings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pPr>
      <w:r>
        <w:rPr>
          <w:rFonts w:ascii="Times New Roman;serif" w:hAnsi="Times New Roman;serif"/>
          <w:b/>
          <w:color w:val="000000"/>
          <w:sz w:val="20"/>
        </w:rPr>
        <w:t>Note 9    Commitments and Contingencies</w:t>
      </w:r>
      <w:r>
        <w:rPr>
          <w:color w:val="000000"/>
        </w:rPr>
        <w:t>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issues off-balance sheet financial instruments to meet the financing needs of its customers. These financial instruments include commitments to fund loans, unfunded commitments under existing lines of credit, and commercial and standby letters of credit. These commitments expose the Company to varying degrees of credit and market risk which are essentially the same as those involved in extending loans to customers, and are subject to the same credit policies used in underwriting loans. Collateral may be obtained based on the Company’s credit evaluation of the counterparty. The Company’s maximum exposure to credit loss is represented by the contractual amount of these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48285"/>
                <wp:effectExtent l="0" t="0" r="0" b="0"/>
                <wp:wrapNone/>
                <wp:docPr id="36" name="Frame3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24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Commitments to fund loans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are agreements to lend funds to customers as long as there is no violation of any condition established in the contract. Commitments to fund loans generally have fixed expiration dates or other termination clauses and may require payment of a fee. Many of these commitments are expected to expire without being funded and, therefore, the total commitment amounts do not necessarily represent future liquidity requirements. </w:t>
      </w:r>
    </w:p>
    <w:p>
      <w:pPr>
        <w:pStyle w:val="TextBody"/>
        <w:bidi w:val="0"/>
        <w:spacing w:lineRule="auto" w:line="288" w:before="16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Unfunded commitments under lines of credit</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Unfunded commitments under lines of credit include commercial and commercial real estate lines of credit to existing customers, for many of which additional extensions of credit are subject to borrowing base requirements. Some of these commitments may mature without being fully funded, some may not necessarily represent future liquidity requirements. </w:t>
      </w:r>
    </w:p>
    <w:p>
      <w:pPr>
        <w:pStyle w:val="TextBody"/>
        <w:bidi w:val="0"/>
        <w:spacing w:lineRule="auto" w:line="288" w:before="16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Commercial and standby letters of credit</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Letters of credit are conditional commitments issued by the Company to guarantee the performance of a customer to a third party. These letters of credit are primarily issued to support trade transactions or guarantee arrangements. The credit risk involved in issuing letters of credit is essentially the same as that involved in extending loan facilities to customers.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lending related commitments outstanding at June 30, 2026 were as follows (in thousands):</w:t>
      </w:r>
    </w:p>
    <w:tbl>
      <w:tblPr>
        <w:tblW w:w="5120" w:type="dxa"/>
        <w:jc w:val="left"/>
        <w:tblInd w:w="0" w:type="dxa"/>
        <w:tblLayout w:type="fixed"/>
        <w:tblCellMar>
          <w:top w:w="28" w:type="dxa"/>
          <w:left w:w="28" w:type="dxa"/>
          <w:bottom w:w="28" w:type="dxa"/>
          <w:right w:w="28" w:type="dxa"/>
        </w:tblCellMar>
      </w:tblPr>
      <w:tblGrid>
        <w:gridCol w:w="1370"/>
        <w:gridCol w:w="1201"/>
        <w:gridCol w:w="1208"/>
        <w:gridCol w:w="211"/>
        <w:gridCol w:w="976"/>
        <w:gridCol w:w="154"/>
      </w:tblGrid>
      <w:tr>
        <w:trPr/>
        <w:tc>
          <w:tcPr>
            <w:tcW w:w="13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to fund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Unfunded commitments under lines of credit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and standby letters of credit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5,554,906 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Legal Proceedings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legal actions arising in the normal course of business. In the opinion of management, based upon advice of legal counsel, the likelihood is remote that the adverse impact of these proceedings, either individually or in the aggregate, would be material to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10    Deposits</w:t>
      </w:r>
    </w:p>
    <w:p>
      <w:pPr>
        <w:pStyle w:val="TextBody"/>
        <w:bidi w:val="0"/>
        <w:spacing w:lineRule="auto" w:line="288" w:before="26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average balances and weighted average rates paid on deposits for the periods indicated (dollars in thousands):</w:t>
      </w:r>
    </w:p>
    <w:tbl>
      <w:tblPr>
        <w:tblW w:w="13148" w:type="dxa"/>
        <w:jc w:val="left"/>
        <w:tblInd w:w="0" w:type="dxa"/>
        <w:tblLayout w:type="fixed"/>
        <w:tblCellMar>
          <w:top w:w="28" w:type="dxa"/>
          <w:left w:w="28" w:type="dxa"/>
          <w:bottom w:w="28" w:type="dxa"/>
          <w:right w:w="28" w:type="dxa"/>
        </w:tblCellMar>
      </w:tblPr>
      <w:tblGrid>
        <w:gridCol w:w="570"/>
        <w:gridCol w:w="301"/>
        <w:gridCol w:w="255"/>
        <w:gridCol w:w="211"/>
        <w:gridCol w:w="1081"/>
        <w:gridCol w:w="109"/>
        <w:gridCol w:w="109"/>
        <w:gridCol w:w="109"/>
        <w:gridCol w:w="109"/>
        <w:gridCol w:w="263"/>
        <w:gridCol w:w="248"/>
        <w:gridCol w:w="401"/>
        <w:gridCol w:w="109"/>
        <w:gridCol w:w="109"/>
        <w:gridCol w:w="109"/>
        <w:gridCol w:w="211"/>
        <w:gridCol w:w="1081"/>
        <w:gridCol w:w="109"/>
        <w:gridCol w:w="109"/>
        <w:gridCol w:w="109"/>
        <w:gridCol w:w="109"/>
        <w:gridCol w:w="263"/>
        <w:gridCol w:w="248"/>
        <w:gridCol w:w="401"/>
        <w:gridCol w:w="109"/>
        <w:gridCol w:w="109"/>
        <w:gridCol w:w="109"/>
        <w:gridCol w:w="211"/>
        <w:gridCol w:w="1081"/>
        <w:gridCol w:w="109"/>
        <w:gridCol w:w="109"/>
        <w:gridCol w:w="109"/>
        <w:gridCol w:w="109"/>
        <w:gridCol w:w="263"/>
        <w:gridCol w:w="248"/>
        <w:gridCol w:w="401"/>
        <w:gridCol w:w="109"/>
        <w:gridCol w:w="109"/>
        <w:gridCol w:w="109"/>
        <w:gridCol w:w="211"/>
        <w:gridCol w:w="1081"/>
        <w:gridCol w:w="109"/>
        <w:gridCol w:w="109"/>
        <w:gridCol w:w="109"/>
        <w:gridCol w:w="109"/>
        <w:gridCol w:w="263"/>
        <w:gridCol w:w="248"/>
        <w:gridCol w:w="401"/>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pPr>
            <w:r>
              <w:rPr>
                <w:rFonts w:ascii="Times New Roman;serif" w:hAnsi="Times New Roman;serif"/>
                <w:b/>
                <w:color w:val="000000"/>
                <w:sz w:val="16"/>
              </w:rPr>
              <w:t>Rate Paid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pPr>
            <w:r>
              <w:rPr>
                <w:rFonts w:ascii="Times New Roman;serif" w:hAnsi="Times New Roman;serif"/>
                <w:b/>
                <w:color w:val="000000"/>
                <w:sz w:val="16"/>
              </w:rPr>
              <w:t>Rate Paid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pPr>
            <w:r>
              <w:rPr>
                <w:rFonts w:ascii="Times New Roman;serif" w:hAnsi="Times New Roman;serif"/>
                <w:b/>
                <w:color w:val="000000"/>
                <w:sz w:val="16"/>
              </w:rPr>
              <w:t>Rate Paid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pPr>
            <w:r>
              <w:rPr>
                <w:rFonts w:ascii="Times New Roman;serif" w:hAnsi="Times New Roman;serif"/>
                <w:b/>
                <w:color w:val="000000"/>
                <w:sz w:val="16"/>
              </w:rPr>
              <w:t>Rate Paid</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Demand deposits:</w:t>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9,027,557 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7,993,915 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8,747,082 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and money market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10,593,396 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28,728,468 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27,676,679 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28,611,651 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27,531,858 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(1)Annualized.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48285"/>
                <wp:effectExtent l="0" t="0" r="0" b="0"/>
                <wp:wrapNone/>
                <wp:docPr id="37" name="Frame3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60" w:after="300"/>
        <w:ind w:left="0" w:right="0" w:firstLine="36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BANKUNITED,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Time deposit accounts with balances greater than $250,000 totaled $706 million and $774 million at June 30, 2026 and December 31, 2025, respectively.</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maturities of time deposits as of June 30, 2026 (in thousands):</w:t>
      </w:r>
    </w:p>
    <w:tbl>
      <w:tblPr>
        <w:tblW w:w="2495" w:type="dxa"/>
        <w:jc w:val="left"/>
        <w:tblInd w:w="0" w:type="dxa"/>
        <w:tblLayout w:type="fixed"/>
        <w:tblCellMar>
          <w:top w:w="28" w:type="dxa"/>
          <w:left w:w="28" w:type="dxa"/>
          <w:bottom w:w="28" w:type="dxa"/>
          <w:right w:w="28" w:type="dxa"/>
        </w:tblCellMar>
      </w:tblPr>
      <w:tblGrid>
        <w:gridCol w:w="418"/>
        <w:gridCol w:w="367"/>
        <w:gridCol w:w="369"/>
        <w:gridCol w:w="211"/>
        <w:gridCol w:w="976"/>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2,368,781 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Included in deposits are public funds deposits of $2.6 billion and $3.2 billion, at June 30, 2026 and December 31, 2025, respectively, and brokered deposits of $3.0 billion and $4.9 billion at June 30, 2026 and December 31, 2025, respectively. Certain public funds deposits are collateralized by a standby letter of credit issued by the FHLB of Atlanta under the State of Florida Public Deposits Program.</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on deposits for the periods indicated was as follows (in thousands):</w:t>
      </w:r>
    </w:p>
    <w:tbl>
      <w:tblPr>
        <w:tblW w:w="8356" w:type="dxa"/>
        <w:jc w:val="left"/>
        <w:tblInd w:w="0" w:type="dxa"/>
        <w:tblLayout w:type="fixed"/>
        <w:tblCellMar>
          <w:top w:w="28" w:type="dxa"/>
          <w:left w:w="28" w:type="dxa"/>
          <w:bottom w:w="28" w:type="dxa"/>
          <w:right w:w="28" w:type="dxa"/>
        </w:tblCellMar>
      </w:tblPr>
      <w:tblGrid>
        <w:gridCol w:w="835"/>
        <w:gridCol w:w="736"/>
        <w:gridCol w:w="73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demand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and money market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pPr>
      <w:r>
        <w:rPr>
          <w:rFonts w:ascii="Times New Roman;serif" w:hAnsi="Times New Roman;serif"/>
          <w:b w:val="false"/>
          <w:color w:val="000000"/>
          <w:sz w:val="20"/>
        </w:rPr>
        <w:t>We incur costs related to certain deposit rebate and commission programs. During the three and six months ended</w:t>
      </w:r>
      <w:r>
        <w:rPr>
          <w:color w:val="000000"/>
        </w:rPr>
        <w:t xml:space="preserve"> </w:t>
      </w:r>
      <w:r>
        <w:rPr>
          <w:rFonts w:ascii="Times New Roman;serif" w:hAnsi="Times New Roman;serif"/>
          <w:b w:val="false"/>
          <w:color w:val="000000"/>
          <w:sz w:val="20"/>
        </w:rPr>
        <w:t>June 30, 2026 and 2025, costs related to those programs that were correlated with the balance in the related deposit accounts totaled $14.3 million, $27.5 million, $14.5 million, and $27.7 million, respectively. These expenses are included in "other non-interest expense" in the accompanying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48285"/>
                <wp:effectExtent l="0" t="0" r="0" b="0"/>
                <wp:wrapNone/>
                <wp:docPr id="38" name="Frame3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w:t>
      </w:r>
    </w:p>
    <w:p>
      <w:pPr>
        <w:pStyle w:val="TextBody"/>
        <w:bidi w:val="0"/>
        <w:spacing w:lineRule="auto" w:line="288" w:before="16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is intended to focus on significant matters impacting and changes in the financial condition and results of operations of the Company during the three and six months ended June 30, 2026 and should be read in conjunction with the consolidated financial statements and notes hereto included in this Quarterly Report on Form 10-Q and BKU's 2025 Annual Report on Form 10-K for the year ended December 31, 2025 (the "2025 Annual Report on Form 10-K").</w:t>
      </w: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Private Securities Litigation Reform Act of 1995 that reflect the Company’s current views with respect to, among other things, future events and financial performance. Words such as “anticipates,” “expects,” “intends,” “plans,” “believes,” “seeks,” “estimates,” "future", "could", and similar expressions identify forward-looking statements. These forward-looking statements are based on the historical performance of the Company or on the Company’s current plans, estimates and expectations. The inclusion of this forward-looking information should not be regarded as a representation by the Company that the future plans, estimates or expectations so contemplated will be achieved. Such forward-looking statements are subject to various risks and uncertainties and assumptions relating to the Company’s operations, financial results, financial condition, business prospects, growth strategy and liquidity, including as impacted by external circumstances outside the Company's direct control, such as (1) an inability to successfully execute our core business strategy; (2) adverse events or conditions impacting the financial services industry, (3) our ability to access capital, including the impact of our credit rating; (4) credit risk inherent in the business of making loans and embedded in our securities portfolio, including inadequate allowance for credit losses and real estate market conditions and valuations; (5) interest rate risk, (6) liquidity risks, (7) risks related to the regulation of our industry, (8) operational risk, including dependence on information technology and third party service providers and the risk of systems failures, interruptions or breaches of security or inability to keep pace with technological change; (9) reputational risk, (10) the impact of conditions in the financial markets and economic conditions generally; (11) ineffective risk management or internal controls; and (12) the selection and application of accounting policies and methods and related assumptions and estimates. If one or more of these or other risks or uncertainties materialize, or if the Company’s underlying assumptions prove to be incorrect, the Company’s actual results may vary materially from those indicated in these statements. A number of important factors could cause actual results to differ materially from those indicated by the forward-looking statements, including, but not limited to, the risk factors described in Part I, Item 1A of the 2025 Annual Report on Form 10-K and any subsequent Quarterly Report on Form 10-Q or Current Report on Form 8-K. The Company does not undertake any obligation to publicly update or review any forward looking statement, whether as a result of new information, future developments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88" w:before="160" w:after="160"/>
        <w:ind w:left="0" w:right="0" w:hanging="360"/>
        <w:jc w:val="left"/>
        <w:rPr>
          <w:rFonts w:ascii="Times New Roman;serif" w:hAnsi="Times New Roman;serif"/>
          <w:b/>
          <w:i/>
          <w:color w:val="000000"/>
          <w:sz w:val="20"/>
        </w:rPr>
      </w:pPr>
      <w:r>
        <w:rPr>
          <w:rFonts w:ascii="Times New Roman;serif" w:hAnsi="Times New Roman;serif"/>
          <w:b/>
          <w:i/>
          <w:color w:val="000000"/>
          <w:sz w:val="20"/>
        </w:rPr>
        <w:t>Quarterly Highlights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evaluating our financial performance, we consider (i) the funding mix and the composition of interest earning assets; (ii) the level of and trends in net interest income and the net interest margin; (iii) the cost of deposits, trends in non-interest income and non-interest expense; (iv) performance ratios such as the return on average equity and return on average assets and trends in those metrics; and (v) asset quality metrics, including the level of criticized and classified assets, the ratios of non-performing loans to total loans and non-performing assets to total assets, delinquency and net charge-off rates, as well as trends in those metrics. We analyze these ratios and trends against our own historical performance, our expected performance, our risk appetite and the financial condition and performance of comparable financial institutions.</w:t>
      </w:r>
    </w:p>
    <w:p>
      <w:pPr>
        <w:pStyle w:val="TextBody"/>
        <w:bidi w:val="0"/>
        <w:spacing w:lineRule="auto" w:line="288" w:before="160" w:after="16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Second quarter 2026 results compared to first quarter 2026:</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Net income was $70.7 million, or $0.97 per diluted share, up from $61.9 million, or $0.83, per diluted share.</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PPNR, a non-GAAP measure, increased by 3%, to $109.9 million from $106.3 million.</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Annualized ROAA increased to 0.81% from 0.72% and annualized ROAE improved to 9.3% from 8.1%.</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net interest margin, calculated on a tax-equivalent basis, expanded to 3.06%, up 0.07%, from 2.99%.</w:t>
      </w:r>
    </w:p>
    <w:p>
      <w:pPr>
        <w:pStyle w:val="TextBody"/>
        <w:bidi w:val="0"/>
        <w:spacing w:lineRule="auto" w:line="288" w:before="160" w:after="160"/>
        <w:ind w:left="0" w:right="0" w:hanging="360"/>
        <w:jc w:val="left"/>
        <w:rPr/>
      </w:pPr>
      <w:r>
        <w:rPr>
          <w:color w:val="000000"/>
          <w:shd w:fill="FFFFFF" w:val="clear"/>
        </w:rPr>
        <w:t>•</w:t>
      </w:r>
      <w:r>
        <w:rPr>
          <w:rFonts w:ascii="Times New Roman;serif" w:hAnsi="Times New Roman;serif"/>
          <w:b w:val="false"/>
          <w:color w:val="000000"/>
          <w:sz w:val="20"/>
        </w:rPr>
        <w:t>Total deposits, excluding brokered deposits, grew by $1 billion.</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NIDDA increased by $991 million, or 11%, and represented 34% of total deposits; average NIDDA was up 7% or </w:t>
      </w:r>
      <w:r>
        <w:rPr>
          <w:rFonts w:ascii="Times New Roman;serif" w:hAnsi="Times New Roman;serif"/>
          <w:b/>
          <w:color w:val="000000"/>
          <w:sz w:val="20"/>
        </w:rPr>
        <w:t>$</w:t>
      </w:r>
      <w:r>
        <w:rPr>
          <w:rFonts w:ascii="Times New Roman;serif" w:hAnsi="Times New Roman;serif"/>
          <w:b w:val="false"/>
          <w:color w:val="000000"/>
          <w:sz w:val="20"/>
        </w:rPr>
        <w:t>564 million.</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Wholesale funding, including FHLB advances and brokered deposits, declined by $1.4 billion reflecting continued balance sheet repositioning.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48285"/>
                <wp:effectExtent l="0" t="0" r="0" b="0"/>
                <wp:wrapNone/>
                <wp:docPr id="39" name="Frame3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Total loans declined by $206 million due to continued purposeful runoff in non-core loans. Average core loans increased by $195 million.</w:t>
      </w:r>
    </w:p>
    <w:p>
      <w:pPr>
        <w:pStyle w:val="TextBody"/>
        <w:bidi w:val="0"/>
        <w:spacing w:lineRule="auto" w:line="288" w:before="160" w:after="160"/>
        <w:ind w:left="0" w:right="0" w:hanging="360"/>
        <w:jc w:val="left"/>
        <w:rPr/>
      </w:pPr>
      <w:r>
        <w:rPr>
          <w:color w:val="000000"/>
          <w:shd w:fill="FFFFFF" w:val="clear"/>
        </w:rPr>
        <w:t>•</w:t>
      </w:r>
      <w:r>
        <w:rPr>
          <w:rFonts w:ascii="Times New Roman;serif" w:hAnsi="Times New Roman;serif"/>
          <w:b w:val="false"/>
          <w:color w:val="000000"/>
          <w:sz w:val="20"/>
        </w:rPr>
        <w:t>Total criticized and classified loans increased by $7 million, or 1%, while non-performing loans declined by $51 million, or 19%. The NPA ratio improved to 0.66%, down 0.13%; the annualized net charge-off ratio was 0.11%, down 0.50%.</w:t>
      </w:r>
    </w:p>
    <w:p>
      <w:pPr>
        <w:pStyle w:val="TextBody"/>
        <w:bidi w:val="0"/>
        <w:spacing w:lineRule="auto" w:line="288" w:before="160" w:after="160"/>
        <w:ind w:left="0" w:right="0" w:hanging="360"/>
        <w:jc w:val="left"/>
        <w:rPr/>
      </w:pPr>
      <w:r>
        <w:rPr>
          <w:color w:val="000000"/>
          <w:shd w:fill="FFFFFF" w:val="clear"/>
        </w:rPr>
        <w:t>•</w:t>
      </w:r>
      <w:r>
        <w:rPr>
          <w:rFonts w:ascii="Times New Roman;serif" w:hAnsi="Times New Roman;serif"/>
          <w:b w:val="false"/>
          <w:color w:val="000000"/>
          <w:sz w:val="20"/>
        </w:rPr>
        <w:t>The ratio of the ACL to total loans increased to 0.91% from 0.87%; the ratio of the ACL to non-performing loans increased to 97.14% from 75.90%; the provision for credit losses was down $9 million.</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At June 30, 2026, CET1 was 12.3%; the ratio of tangible common equity to tangible assets was 8.4%. </w:t>
      </w:r>
    </w:p>
    <w:p>
      <w:pPr>
        <w:pStyle w:val="TextBody"/>
        <w:bidi w:val="0"/>
        <w:spacing w:lineRule="auto" w:line="288" w:before="160" w:after="160"/>
        <w:ind w:left="0" w:right="0" w:hanging="360"/>
        <w:jc w:val="left"/>
        <w:rPr/>
      </w:pPr>
      <w:r>
        <w:rPr>
          <w:color w:val="000000"/>
          <w:shd w:fill="FFFFFF" w:val="clear"/>
        </w:rPr>
        <w:t>•</w:t>
      </w:r>
      <w:r>
        <w:rPr>
          <w:rFonts w:ascii="Times New Roman;serif" w:hAnsi="Times New Roman;serif"/>
          <w:b w:val="false"/>
          <w:color w:val="000000"/>
          <w:sz w:val="20"/>
        </w:rPr>
        <w:t xml:space="preserve">Book value and tangible book value per common share were, $41.55 and $40.48, respectively, at June 30, 2026, compared to $41.11 and $40.05, respectively, at March 31, 2026.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The Company repurchased approximately 1.1 million shares of its common stock for an aggregate purchase price of $50.1 million.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results for the second quarter of 2026 were driven primarily by continued balance sheet repositioning and improvements in funding mix. Growth in NIDDA and core deposits in general, together with lower brokered deposits and wholesale funding, contributed to lower funding costs and higher net interest margin. Profitability improved during the quarter, as reflected in increases in net income, pre-provision net revenue and returns on average assets and equity. Asset quality metrics also improved, including lower non-performing loan and net charge-off ratios, while capital and tangible book value metrics remained strong.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Net Interest Income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interest income is the difference between interest earned on interest earning assets and interest incurred on interest bearing liabilities and is the primary driver of core earnings. Net interest income is impacted by the mix of interest earning assets and interest bearing liabilities, the ratio of interest earning assets to total assets and of interest bearing liabilities to total funding sources, movements in market interest rates and monetary policy, the shape of the yield curve, levels of non-performing assets and pricing pressure from competitors.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mix of interest earning assets is influenced by loan demand, market and competitive conditions in our primary lending markets, by management's continual assessment of the rate of return and relative risk associated with various classes of earning assets and liquidity considerations. The mix of funding sources is influenced by the Company's liquidity profile, management's assessment of the desire for lower-cost funding sources weighed against relationships with customers, our ability to attract and retain core deposit relationships, competition for deposits in the Company's markets and the availability and pricing of other sources of funds.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48285"/>
                <wp:effectExtent l="0" t="0" r="0" b="0"/>
                <wp:wrapNone/>
                <wp:docPr id="40" name="Frame4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for the periods indicated, information about (i) average balances, the total dollar amount of taxable equivalent interest income from earning assets and the resultant average yields; (ii) average balances, the total dollar amount of interest expense on interest bearing liabilities and the resultant average rates; (iii) net interest income; (iv) the interest rate spread; and (v) the net interest margin. Non-accrual loans are included in the average balances presented in this table; however, interest income foregone on non-accrual loans is not included. Interest income, yields, spread and margin have been calculated on a tax-equivalent basis for loans and investment securities that are exempt from federal income taxes, at a federal tax rate of 21% (dollars in thousands):</w:t>
      </w:r>
    </w:p>
    <w:tbl>
      <w:tblPr>
        <w:tblW w:w="13489" w:type="dxa"/>
        <w:jc w:val="left"/>
        <w:tblInd w:w="0" w:type="dxa"/>
        <w:tblLayout w:type="fixed"/>
        <w:tblCellMar>
          <w:top w:w="28" w:type="dxa"/>
          <w:left w:w="28" w:type="dxa"/>
          <w:bottom w:w="28" w:type="dxa"/>
          <w:right w:w="28" w:type="dxa"/>
        </w:tblCellMar>
      </w:tblPr>
      <w:tblGrid>
        <w:gridCol w:w="664"/>
        <w:gridCol w:w="215"/>
        <w:gridCol w:w="217"/>
        <w:gridCol w:w="196"/>
        <w:gridCol w:w="961"/>
        <w:gridCol w:w="109"/>
        <w:gridCol w:w="109"/>
        <w:gridCol w:w="109"/>
        <w:gridCol w:w="109"/>
        <w:gridCol w:w="196"/>
        <w:gridCol w:w="736"/>
        <w:gridCol w:w="109"/>
        <w:gridCol w:w="109"/>
        <w:gridCol w:w="109"/>
        <w:gridCol w:w="109"/>
        <w:gridCol w:w="233"/>
        <w:gridCol w:w="233"/>
        <w:gridCol w:w="253"/>
        <w:gridCol w:w="109"/>
        <w:gridCol w:w="109"/>
        <w:gridCol w:w="109"/>
        <w:gridCol w:w="196"/>
        <w:gridCol w:w="961"/>
        <w:gridCol w:w="109"/>
        <w:gridCol w:w="109"/>
        <w:gridCol w:w="109"/>
        <w:gridCol w:w="109"/>
        <w:gridCol w:w="196"/>
        <w:gridCol w:w="736"/>
        <w:gridCol w:w="109"/>
        <w:gridCol w:w="109"/>
        <w:gridCol w:w="109"/>
        <w:gridCol w:w="109"/>
        <w:gridCol w:w="233"/>
        <w:gridCol w:w="233"/>
        <w:gridCol w:w="253"/>
        <w:gridCol w:w="109"/>
        <w:gridCol w:w="109"/>
        <w:gridCol w:w="109"/>
        <w:gridCol w:w="196"/>
        <w:gridCol w:w="961"/>
        <w:gridCol w:w="109"/>
        <w:gridCol w:w="109"/>
        <w:gridCol w:w="109"/>
        <w:gridCol w:w="109"/>
        <w:gridCol w:w="196"/>
        <w:gridCol w:w="736"/>
        <w:gridCol w:w="109"/>
        <w:gridCol w:w="109"/>
        <w:gridCol w:w="109"/>
        <w:gridCol w:w="109"/>
        <w:gridCol w:w="233"/>
        <w:gridCol w:w="233"/>
        <w:gridCol w:w="253"/>
        <w:gridCol w:w="109"/>
        <w:gridCol w:w="109"/>
        <w:gridCol w:w="109"/>
        <w:gridCol w:w="109"/>
        <w:gridCol w:w="109"/>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Yield/</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Yield/</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Yield/</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earning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Loans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23,839,310 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23,835,417 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23,901,218 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Investment securities </w:t>
            </w:r>
            <w:r>
              <w:rPr>
                <w:rFonts w:ascii="Times New Roman;serif" w:hAnsi="Times New Roman;serif"/>
                <w:b w:val="false"/>
                <w:color w:val="000000"/>
                <w:sz w:val="10"/>
              </w:rPr>
              <w:t>(3)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interest earning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earning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33,903,117 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33,978,898 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34,061,443 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earning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35,046,015 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35,088,881 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35,205,242 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bearing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bearing demand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6,365,179 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6,033,099 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 and money market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10,083,767 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10,245,692 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10,355,700 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Time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3,919,526 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bearing deposits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19,700,911 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20,030,047 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19,682,764 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FHLB advances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and other borrowings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bearing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22,201,537 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22,590,478 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23,333,109 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bearing demand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8,463,491 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non-interest bearing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32,005,776 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31,984,753 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32,258,903 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2,946,339 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35,046,015 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35,088,881 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35,205,242 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spread</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margin</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(1)On a tax-equivalent basis where applicable. The tax-equivalent adjustment for tax-exempt loans was $2.8 million for the three months ended June 30, 2026, and $2.7 million for both the three months ended March 31, 2026 and June 30, 2025. The tax-equivalent adjustment for tax-exempt investment securities was $1.1 million for the three months ended June 30, 2026, and $0.7 million for both the three months ended March 31, 2026 and June 30,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(2)Annualized.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(3)At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48285"/>
                <wp:effectExtent l="0" t="0" r="0" b="0"/>
                <wp:wrapNone/>
                <wp:docPr id="41" name="Frame4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794"/>
        <w:gridCol w:w="460"/>
        <w:gridCol w:w="464"/>
        <w:gridCol w:w="196"/>
        <w:gridCol w:w="961"/>
        <w:gridCol w:w="109"/>
        <w:gridCol w:w="109"/>
        <w:gridCol w:w="109"/>
        <w:gridCol w:w="109"/>
        <w:gridCol w:w="196"/>
        <w:gridCol w:w="736"/>
        <w:gridCol w:w="109"/>
        <w:gridCol w:w="109"/>
        <w:gridCol w:w="109"/>
        <w:gridCol w:w="109"/>
        <w:gridCol w:w="233"/>
        <w:gridCol w:w="233"/>
        <w:gridCol w:w="300"/>
        <w:gridCol w:w="109"/>
        <w:gridCol w:w="109"/>
        <w:gridCol w:w="109"/>
        <w:gridCol w:w="109"/>
        <w:gridCol w:w="109"/>
        <w:gridCol w:w="109"/>
        <w:gridCol w:w="109"/>
        <w:gridCol w:w="109"/>
        <w:gridCol w:w="109"/>
        <w:gridCol w:w="196"/>
        <w:gridCol w:w="961"/>
        <w:gridCol w:w="109"/>
        <w:gridCol w:w="109"/>
        <w:gridCol w:w="109"/>
        <w:gridCol w:w="109"/>
        <w:gridCol w:w="196"/>
        <w:gridCol w:w="736"/>
        <w:gridCol w:w="109"/>
        <w:gridCol w:w="109"/>
        <w:gridCol w:w="109"/>
        <w:gridCol w:w="109"/>
        <w:gridCol w:w="233"/>
        <w:gridCol w:w="233"/>
        <w:gridCol w:w="352"/>
      </w:tblGrid>
      <w:tr>
        <w:trPr/>
        <w:tc>
          <w:tcPr>
            <w:tcW w:w="79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4106" w:type="dxa"/>
            <w:gridSpan w:val="18"/>
            <w:tcBorders/>
          </w:tcPr>
          <w:p>
            <w:pPr>
              <w:pStyle w:val="TableContents"/>
              <w:bidi w:val="0"/>
              <w:spacing w:before="0" w:after="283"/>
              <w:jc w:val="left"/>
              <w:rPr>
                <w:sz w:val="4"/>
                <w:szCs w:val="4"/>
              </w:rPr>
            </w:pPr>
            <w:r>
              <w:rPr>
                <w:sz w:val="4"/>
                <w:szCs w:val="4"/>
              </w:rPr>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513" w:type="dxa"/>
            <w:gridSpan w:val="12"/>
            <w:tcBorders/>
          </w:tcPr>
          <w:p>
            <w:pPr>
              <w:pStyle w:val="TableContents"/>
              <w:bidi w:val="0"/>
              <w:spacing w:before="0" w:after="283"/>
              <w:jc w:val="left"/>
              <w:rPr>
                <w:sz w:val="4"/>
                <w:szCs w:val="4"/>
              </w:rPr>
            </w:pPr>
            <w:r>
              <w:rPr>
                <w:sz w:val="4"/>
                <w:szCs w:val="4"/>
              </w:rPr>
            </w:r>
          </w:p>
        </w:tc>
      </w:tr>
      <w:tr>
        <w:trPr/>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Yield/</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Yield/</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(1)(2)</w:t>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earning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71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Loans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23,837,373 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23,917,488 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Investment securities </w:t>
            </w:r>
            <w:r>
              <w:rPr>
                <w:rFonts w:ascii="Times New Roman;serif" w:hAnsi="Times New Roman;serif"/>
                <w:b w:val="false"/>
                <w:color w:val="000000"/>
                <w:sz w:val="10"/>
              </w:rPr>
              <w:t>(3)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9,426,293 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9,229,050 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interest earning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earning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33,941,091 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33,948,335 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earning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35,067,328 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35,090,984 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bearing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bearing demand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6,200,056 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 and money market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10,164,282 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Time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bearing deposits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19,864,569 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19,826,738 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1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FHLB advances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2,110,967 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2,966,188 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and other borrowings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bearing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22,394,932 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23,501,985 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bearing demand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7,705,120 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non-interest bearing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31,995,321 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32,175,300 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35,067,328 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35,090,984 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spread</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margin</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3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35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(1)On a tax-equivalent basis where applicable. The tax-equivalent adjustment for tax-exempt loans was $5.4 million for the six months ended June 30, 2026 and 2025. The tax-equivalent adjustment for tax-exempt investment securities was $1.8 million and $1.4 million for the six months ended June 30, 2026 and 2025, respectively.</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(2)Annualized.</w:t>
      </w:r>
    </w:p>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     At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360"/>
        <w:jc w:val="left"/>
        <w:rPr/>
      </w:pPr>
      <w:r>
        <w:rPr>
          <w:rFonts w:ascii="Times New Roman;serif" w:hAnsi="Times New Roman;serif"/>
          <w:b w:val="false"/>
          <w:i/>
          <w:color w:val="000000"/>
          <w:sz w:val="20"/>
          <w:shd w:fill="FFFFFF" w:val="clear"/>
        </w:rPr>
        <w:t xml:space="preserve">Three months ended </w:t>
      </w:r>
      <w:r>
        <w:rPr>
          <w:rFonts w:ascii="Times New Roman;serif" w:hAnsi="Times New Roman;serif"/>
          <w:b w:val="false"/>
          <w:i/>
          <w:color w:val="000000"/>
          <w:sz w:val="20"/>
        </w:rPr>
        <w:t>June 30, 2026</w:t>
      </w:r>
      <w:r>
        <w:rPr>
          <w:color w:val="000000"/>
          <w:shd w:fill="FFFFFF" w:val="clear"/>
        </w:rPr>
        <w:t xml:space="preserve"> </w:t>
      </w:r>
      <w:r>
        <w:rPr>
          <w:rFonts w:ascii="Times New Roman;serif" w:hAnsi="Times New Roman;serif"/>
          <w:b w:val="false"/>
          <w:i/>
          <w:color w:val="000000"/>
          <w:sz w:val="20"/>
          <w:shd w:fill="FFFFFF" w:val="clear"/>
        </w:rPr>
        <w:t xml:space="preserve">compared to the three months ended </w:t>
      </w:r>
      <w:r>
        <w:rPr>
          <w:rFonts w:ascii="Times New Roman;serif" w:hAnsi="Times New Roman;serif"/>
          <w:b w:val="false"/>
          <w:i/>
          <w:color w:val="000000"/>
          <w:sz w:val="20"/>
        </w:rPr>
        <w:t>March 31, 2026</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interest income on a taxable-equivalent basis was $259.2 million for the three months ended June 30, 2026, compared to $252.4 million for the three months ended March 31, 2026, an increase of $6.8 million, or 2.7%. The increase was driven by a $4.8 million increase in interest income and a $2.0 million decrease in interest expense.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net interest margin calculated on a tax-equivalent basis, increased to 3.06% for the three months ended June 30, 2026, compared to 2.99% for the immediately preceding three months ended March 31, 2026. Factors impacting the net interest margin for the three months ended June 30, 2026 compared to the three months ended March 31, 2026 included: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net interest margin was positively impacted by the increase in average NIDDA as a percentage of both total deposits and total funding. Average NIDDA grew by $564.1 million for the three months ended June 30, 2026, while average interest bearing deposits declined by $329.1 million.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The average cost of deposits declined to 2.05% for the three months ended June 30, 2026, from 2.12% for the three months ended March 31, 2026. The decrease reflected a reduction of wholesale funding and continued pricing discipline.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The tax-equivalent yield on investments increased to 4.64% for the three months ended June 30, 2026, from 4.55% for the three months ended March 31, 2026, primarily due to the benefit of securities purchased during the period when spreads widened and there was market volatility.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average rate paid on FHLB advances increased to 3.75% for the three months ended June 30, 2026 compared to 3.68% for the three months ended March 31, 2026 primarily due to the maturities of some cash flow hedges.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48285"/>
                <wp:effectExtent l="0" t="0" r="0" b="0"/>
                <wp:wrapNone/>
                <wp:docPr id="42" name="Frame4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pPr>
      <w:r>
        <w:rPr>
          <w:rFonts w:ascii="Times New Roman;serif" w:hAnsi="Times New Roman;serif"/>
          <w:b w:val="false"/>
          <w:i/>
          <w:color w:val="000000"/>
          <w:sz w:val="20"/>
          <w:shd w:fill="FFFFFF" w:val="clear"/>
        </w:rPr>
        <w:t xml:space="preserve">Three and six months ended </w:t>
      </w:r>
      <w:r>
        <w:rPr>
          <w:rFonts w:ascii="Times New Roman;serif" w:hAnsi="Times New Roman;serif"/>
          <w:b w:val="false"/>
          <w:i/>
          <w:color w:val="000000"/>
          <w:sz w:val="20"/>
        </w:rPr>
        <w:t>June 30, 2026</w:t>
      </w:r>
      <w:r>
        <w:rPr>
          <w:color w:val="000000"/>
          <w:shd w:fill="FFFFFF" w:val="clear"/>
        </w:rPr>
        <w:t xml:space="preserve"> </w:t>
      </w:r>
      <w:r>
        <w:rPr>
          <w:rFonts w:ascii="Times New Roman;serif" w:hAnsi="Times New Roman;serif"/>
          <w:b w:val="false"/>
          <w:i/>
          <w:color w:val="000000"/>
          <w:sz w:val="20"/>
          <w:shd w:fill="FFFFFF" w:val="clear"/>
        </w:rPr>
        <w:t xml:space="preserve">compared to the three and six months ended </w:t>
      </w:r>
      <w:r>
        <w:rPr>
          <w:rFonts w:ascii="Times New Roman;serif" w:hAnsi="Times New Roman;serif"/>
          <w:b w:val="false"/>
          <w:i/>
          <w:color w:val="000000"/>
          <w:sz w:val="20"/>
        </w:rPr>
        <w:t>June 30, 2025</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interest income, calculated on a tax-equivalent basis, increased by $10 million and $25 million for the three and six months ended June 30, 2026, respectively. The increase from the prior year for both periods is primarily due to continued improvement in funding mix. Strong growth in NIDDA supported reductions in higher-cost wholesale funding, including brokered deposits and FHLB advances, lowering overall funding costs and improving margin. These benefits were partially offset by lower yields on loans and investments and to a lesser extent lower average balances of interest-earning assets.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net interest margin, calculated on a tax-equivalent basis, expanded to 3.06% and 3.03% for the three and six months ended June 30, 2026, respectively, from 2.93% and 2.87% for the three and six months ended June 30, 2025, respectively. The increase in the net interest margin for both periods was primarily a result of balance sheet repositioning and particularly an improved funding mix.</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compared to same periods in the prior year, average NIDDA grew by $1.0 billion while average interest bearing liabilities declined by $1.1 billion. Deposit pricing continued to improve, contributing to lower funding costs. The average cost of deposits declined to 2.05% and 2.08% from 2.47% and 2.52% for the three and six months ended June 30, 2026 and 2025, respectively, reflecting the maturity of higher-rate time deposits, reductions in higher cost brokered deposits and the continued execution of targeted deposit repricing initiatives. Partially offsetting these improvements was a decrease in tax-equivalent yields on investment securities and loans as variable rate assets repriced faster than continued improvement in funding cost and funding mix dynamics due to lower SOFR/Fed funds basis.</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Provision for Credit Losses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provision for credit losses is a charge or credit to earnings required to maintain the ACL at a level consistent with management’s estimate of expected credit losses on financial assets carried at amortized cost at the balance sheet date. The amount of the provision is impacted by changes in current economic conditions as well as in management's reasonable and supportable economic forecast, loan originations and runoff, changes in portfolio mix, risk rating migration and portfolio seasoning, changes in specific reserves, changes in expected prepayment speeds and other assumptions. The provision for credit losses also includes amounts related to off-balance sheet credit exposures and may include amounts related to accrued interest receivable and AFS debt securities.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provision for credit losses for the periods indicated (in thousands):</w:t>
      </w:r>
    </w:p>
    <w:tbl>
      <w:tblPr>
        <w:tblW w:w="9788" w:type="dxa"/>
        <w:jc w:val="left"/>
        <w:tblInd w:w="0" w:type="dxa"/>
        <w:tblLayout w:type="fixed"/>
        <w:tblCellMar>
          <w:top w:w="28" w:type="dxa"/>
          <w:left w:w="28" w:type="dxa"/>
          <w:bottom w:w="28" w:type="dxa"/>
          <w:right w:w="28" w:type="dxa"/>
        </w:tblCellMar>
      </w:tblPr>
      <w:tblGrid>
        <w:gridCol w:w="1587"/>
        <w:gridCol w:w="1391"/>
        <w:gridCol w:w="140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related to funded portion of loans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related to off-balance sheet credit exposures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credit losses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most significant factors impacting the provision for credit losses for the three months ended June 30, 2026 was an increase in specific reserves, changes in the economic forecast, lower net charge-offs and improved asset quality. The most significant factors impacting the provision for credit losses for the six months ended June 30, 2026 was higher net charge-offs and an increase in specific reserves.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provision for credit losses may be volatile and the level of the ACL may change materially from current levels. Future levels of the ACL could be significantly impacted, in either direction, by changes in factors such as, but not limited to, economic conditions or the economic outlook, the composition of the loan portfolio, the financial condition of our borrowers and collateral values.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determination of the amount of the ACL is complex and involves a high degree of judgment and subjectivity. See “Analysis of the Allowance for Credit Losses” below for more information about how we determine the appropriate level of the ACL and about factors that impacted the level of the ACL.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48285"/>
                <wp:effectExtent l="0" t="0" r="0" b="0"/>
                <wp:wrapNone/>
                <wp:docPr id="43" name="Frame4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Non-Interest Income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comparison of the categories of non-interest income for the periods indicated (in thousands):</w:t>
      </w:r>
    </w:p>
    <w:tbl>
      <w:tblPr>
        <w:tblW w:w="8273" w:type="dxa"/>
        <w:jc w:val="left"/>
        <w:tblInd w:w="0" w:type="dxa"/>
        <w:tblLayout w:type="fixed"/>
        <w:tblCellMar>
          <w:top w:w="28" w:type="dxa"/>
          <w:left w:w="28" w:type="dxa"/>
          <w:bottom w:w="28" w:type="dxa"/>
          <w:right w:w="28" w:type="dxa"/>
        </w:tblCellMar>
      </w:tblPr>
      <w:tblGrid>
        <w:gridCol w:w="1038"/>
        <w:gridCol w:w="912"/>
        <w:gridCol w:w="91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service charges and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investment securities,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markets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 syndication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 markets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more significant items included in other non-interest income in the table above typically include commercial card revenue, lending related fees other than origination fees, and BOLI income. Non-interest income increased for the three months ended June 30, 2026, compared to the three months ended June 30, 2025, primarily as a result of higher deposit service charges and capital markets revenue. For the six months ended June 30, 2026, the increase was primarily due to higher deposit service charges and gains on investment securities, partially offset by decrease in lease financing revenue attributable to the continuing decline in the size of the operating lease equipment portfolio.</w:t>
      </w:r>
    </w:p>
    <w:p>
      <w:pPr>
        <w:pStyle w:val="TextBody"/>
        <w:bidi w:val="0"/>
        <w:spacing w:lineRule="auto" w:line="288" w:before="240" w:after="16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Non-Interest Expense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components of non-interest expense for the periods indicated (in thousands):</w:t>
      </w:r>
    </w:p>
    <w:tbl>
      <w:tblPr>
        <w:tblW w:w="9533" w:type="dxa"/>
        <w:jc w:val="left"/>
        <w:tblInd w:w="0" w:type="dxa"/>
        <w:tblLayout w:type="fixed"/>
        <w:tblCellMar>
          <w:top w:w="28" w:type="dxa"/>
          <w:left w:w="28" w:type="dxa"/>
          <w:bottom w:w="28" w:type="dxa"/>
          <w:right w:w="28" w:type="dxa"/>
        </w:tblCellMar>
      </w:tblPr>
      <w:tblGrid>
        <w:gridCol w:w="1343"/>
        <w:gridCol w:w="1178"/>
        <w:gridCol w:w="118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Occupancy and equipment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insurance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of operating lease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Deposit related rebate and commission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increase in employee compensation and benefits was primarily attributable to increased head count as we invest in the growth of the franchise. In addition, in other non-interest expense were higher deposit related costs of $3.8 million, a loss associated with a single real estate owned asset disposition of $1.1 million and elevated operational losses of $1.3 million.</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higher employee compensation and benefits was primarily due to routine salary increases and increased employee headcount. The decrease in deposit insurance expense was primarily attributable to a $6.7 million release of FDIC special assessment accrual during the six months ended June 30, 2026. A lower base assessment rate for the six months ended June 30, 2026 compared to the six months ended June 30, 2025, also contributed to the decline in deposit insurance expense. In addition, included in other non-interest expense was $6.3 million in higher deposit related costs and higher operational losses of $1.1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Analysis of Financial Condition</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continued to execute on our organic balance sheet transformation strategy, focused on improving both the funding profile and asset mix. For the six months ended June 30, 2026, NIDDA increased by $825 million from 31% to 34% of total deposits, while non-brokered deposits increased by $1.4 billion over the same period. Year-over-year, for the six months ended June 30, 2026 compared to the six months ended June 30, 2025, average NIDDA increased by $1.0 billion, consistent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48285"/>
                <wp:effectExtent l="0" t="0" r="0" b="0"/>
                <wp:wrapNone/>
                <wp:docPr id="44" name="Frame4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continued progress in improving our funding profile. Wholesale funding, including FHLB advances, brokered deposits, and federal funds purchased, declined by $1.5 billion for the six months ended June 30, 2026.</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loans declined by $345 million for the six months ended June 30, 2026, primarily due to continued runoff of non-core loans. Core loans increased by $14 million while the residential and franchise and equipment finance portfolios declined by a combined $358 million, consistent with our balance sheet repositioning strategy. The loan-to-deposit ratio was 82.9% at June 30, 2026 compared to 82.7% at December 31, 2025. The securities portfolio grew by $54 million for the six months ended June 30, 2026.</w:t>
      </w:r>
    </w:p>
    <w:p>
      <w:pPr>
        <w:pStyle w:val="TextBody"/>
        <w:bidi w:val="0"/>
        <w:spacing w:lineRule="auto" w:line="288" w:before="16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Investment Securities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amortized cost and carrying value, which is fair value, of investment securities at the dates indicated (in thousands):</w:t>
      </w:r>
    </w:p>
    <w:tbl>
      <w:tblPr>
        <w:tblW w:w="10205" w:type="dxa"/>
        <w:jc w:val="left"/>
        <w:tblInd w:w="0" w:type="dxa"/>
        <w:tblLayout w:type="fixed"/>
        <w:tblCellMar>
          <w:top w:w="28" w:type="dxa"/>
          <w:left w:w="28" w:type="dxa"/>
          <w:bottom w:w="28" w:type="dxa"/>
          <w:right w:w="28" w:type="dxa"/>
        </w:tblCellMar>
      </w:tblPr>
      <w:tblGrid>
        <w:gridCol w:w="1412"/>
        <w:gridCol w:w="1071"/>
        <w:gridCol w:w="1075"/>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155"/>
      </w:tblGrid>
      <w:tr>
        <w:trPr/>
        <w:tc>
          <w:tcPr>
            <w:tcW w:w="141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2105" w:type="dxa"/>
            <w:gridSpan w:val="10"/>
            <w:tcBorders/>
          </w:tcPr>
          <w:p>
            <w:pPr>
              <w:pStyle w:val="TableContents"/>
              <w:bidi w:val="0"/>
              <w:spacing w:before="0" w:after="283"/>
              <w:jc w:val="left"/>
              <w:rPr>
                <w:sz w:val="4"/>
                <w:szCs w:val="4"/>
              </w:rPr>
            </w:pPr>
            <w:r>
              <w:rPr>
                <w:sz w:val="4"/>
                <w:szCs w:val="4"/>
              </w:rPr>
            </w:r>
          </w:p>
        </w:tc>
      </w:tr>
      <w:tr>
        <w:trPr/>
        <w:tc>
          <w:tcPr>
            <w:tcW w:w="3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residential MBS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commercial MBS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residential MBS and CMOs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Private label commercial MBS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 family real estate-backed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Non-mortgage 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9,525,046 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9,257,917 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9,263,651 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pPr>
      <w:r>
        <w:rPr>
          <w:rFonts w:ascii="Times New Roman;serif" w:hAnsi="Times New Roman;serif"/>
          <w:b w:val="false"/>
          <w:color w:val="000000"/>
          <w:sz w:val="20"/>
        </w:rPr>
        <w:t>Our investment strategy is focused on ensuring adequate liquidity, maintaining a suitable balance of high credit quality, diverse assets, managing interest rate risk, and generating acceptable returns given our established risk parameters. We have sought to maintain liquidity by investing a significant portion of the portfolio in high quality liquid securities including U.S. Treasury and U.S. Government Agency and sponsored enterprise securities. We have also invested in highly-rated structured products, including private-label commercial and residential MBS, CLOs, single family real estate-backed securities and non-mortgage asset-backed securities that, while somewhat less liquid, are generally pledgeable at either the FHLB or the FRB and provide us with attractive yields. Investment grade municipal securities provide liquidity and attractive tax-equivalent yields. We remain committed to keeping the duration of our securities portfolio short; relatively short effective portfolio duration helps mitigate interest rate risk. T</w:t>
      </w:r>
      <w:r>
        <w:rPr>
          <w:rFonts w:ascii="Times New Roman;serif" w:hAnsi="Times New Roman;serif"/>
          <w:b w:val="false"/>
          <w:color w:val="000000"/>
          <w:sz w:val="20"/>
          <w:shd w:fill="FFFFFF" w:val="clear"/>
        </w:rPr>
        <w:t xml:space="preserve">he estimated effective duration of the investment portfolio was 2.02 years and </w:t>
      </w:r>
      <w:r>
        <w:rPr>
          <w:rFonts w:ascii="Times New Roman;serif" w:hAnsi="Times New Roman;serif"/>
          <w:b w:val="false"/>
          <w:color w:val="000000"/>
          <w:sz w:val="20"/>
        </w:rPr>
        <w:t xml:space="preserve">the estimated weighted average life of the portfolio was </w:t>
      </w:r>
      <w:r>
        <w:rPr>
          <w:rFonts w:ascii="Times New Roman;serif" w:hAnsi="Times New Roman;serif"/>
          <w:b w:val="false"/>
          <w:color w:val="000000"/>
          <w:sz w:val="20"/>
          <w:shd w:fill="FFFFFF" w:val="clear"/>
        </w:rPr>
        <w:t xml:space="preserve">5.4 years </w:t>
      </w:r>
      <w:r>
        <w:rPr>
          <w:rFonts w:ascii="Times New Roman;serif" w:hAnsi="Times New Roman;serif"/>
          <w:b w:val="false"/>
          <w:color w:val="000000"/>
          <w:sz w:val="20"/>
        </w:rPr>
        <w:t>as of June 30, 2026. Approximately 65% of the securities portfolio was floating rate at June 30, 2026.</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investment securities AFS portfolio was in a net unrealized loss position of $282.3 million at June 30, 2026, increasing by $15.2 million compared to a net unrealized loss position of $267.1 million at December 31, 2025. Net unrealized losses at June 30, 2026 included $22.1 million of gross unrealized gains and $304.4 million of gross unrealized losses. Investment securities available for sale in unrealized loss positions at June 30, 2026 had an aggregate fair value of $5.2 billion. The unrealized losses resulted primarily from a sustained period of higher interest rates, and in some cases, wider spreads compared to the levels at which securities were purchased. None of the unrealized losses were attributable to credit loss impairments.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48285"/>
                <wp:effectExtent l="0" t="0" r="0" b="0"/>
                <wp:wrapNone/>
                <wp:docPr id="45" name="Frame4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external ratings distribution of our AFS securities portfolio at the dates indicated is depicted in the charts below:</w:t>
      </w:r>
    </w:p>
    <w:tbl>
      <w:tblPr>
        <w:tblW w:w="3385" w:type="dxa"/>
        <w:jc w:val="left"/>
        <w:tblInd w:w="0" w:type="dxa"/>
        <w:tblLayout w:type="fixed"/>
        <w:tblCellMar>
          <w:top w:w="28" w:type="dxa"/>
          <w:left w:w="28" w:type="dxa"/>
          <w:bottom w:w="28" w:type="dxa"/>
          <w:right w:w="28" w:type="dxa"/>
        </w:tblCellMar>
      </w:tblPr>
      <w:tblGrid>
        <w:gridCol w:w="466"/>
        <w:gridCol w:w="409"/>
        <w:gridCol w:w="414"/>
        <w:gridCol w:w="109"/>
        <w:gridCol w:w="109"/>
        <w:gridCol w:w="109"/>
        <w:gridCol w:w="517"/>
        <w:gridCol w:w="517"/>
        <w:gridCol w:w="735"/>
      </w:tblGrid>
      <w:tr>
        <w:trPr/>
        <w:tc>
          <w:tcPr>
            <w:tcW w:w="4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1ABE6"/>
                <w:sz w:val="20"/>
              </w:rPr>
            </w:pPr>
            <w:r>
              <w:rPr>
                <w:rFonts w:ascii="Times New Roman;serif" w:hAnsi="Times New Roman;serif"/>
                <w:b/>
                <w:color w:val="01ABE6"/>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1ABE6"/>
                <w:sz w:val="20"/>
              </w:rPr>
            </w:pPr>
            <w:r>
              <w:rPr>
                <w:rFonts w:ascii="Times New Roman;serif" w:hAnsi="Times New Roman;serif"/>
                <w:b/>
                <w:color w:val="01ABE6"/>
                <w:sz w:val="20"/>
              </w:rPr>
              <w:t>December 31, 2025</w:t>
            </w:r>
          </w:p>
        </w:tc>
      </w:tr>
    </w:tbl>
    <w:p>
      <w:pPr>
        <w:pStyle w:val="TextBody"/>
        <w:bidi w:val="0"/>
        <w:spacing w:lineRule="auto" w:line="288" w:before="160" w:after="160"/>
        <w:ind w:left="0" w:right="0" w:firstLine="360"/>
        <w:jc w:val="left"/>
        <w:rPr/>
      </w:pPr>
      <w:r>
        <w:rPr/>
        <w:drawing>
          <wp:inline distT="0" distB="0" distL="0" distR="0">
            <wp:extent cx="3095625" cy="2466975"/>
            <wp:effectExtent l="0" t="0" r="0" b="0"/>
            <wp:docPr id="4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 descr=""/>
                    <pic:cNvPicPr>
                      <a:picLocks noChangeAspect="1" noChangeArrowheads="1"/>
                    </pic:cNvPicPr>
                  </pic:nvPicPr>
                  <pic:blipFill>
                    <a:blip r:embed="rId2"/>
                    <a:stretch>
                      <a:fillRect/>
                    </a:stretch>
                  </pic:blipFill>
                  <pic:spPr bwMode="auto">
                    <a:xfrm>
                      <a:off x="0" y="0"/>
                      <a:ext cx="3095625" cy="2466975"/>
                    </a:xfrm>
                    <a:prstGeom prst="rect">
                      <a:avLst/>
                    </a:prstGeom>
                  </pic:spPr>
                </pic:pic>
              </a:graphicData>
            </a:graphic>
          </wp:inline>
        </w:drawing>
      </w:r>
      <w:bookmarkStart w:id="0" w:name="i-1"/>
      <w:bookmarkEnd w:id="0"/>
      <w:r>
        <w:rPr>
          <w:color w:val="000000"/>
        </w:rPr>
        <w:t xml:space="preserve"> </w:t>
      </w:r>
      <w:r>
        <w:rPr/>
        <w:drawing>
          <wp:inline distT="0" distB="0" distL="0" distR="0">
            <wp:extent cx="3286125" cy="2466975"/>
            <wp:effectExtent l="0" t="0" r="0" b="0"/>
            <wp:docPr id="4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 descr=""/>
                    <pic:cNvPicPr>
                      <a:picLocks noChangeAspect="1" noChangeArrowheads="1"/>
                    </pic:cNvPicPr>
                  </pic:nvPicPr>
                  <pic:blipFill>
                    <a:blip r:embed="rId3"/>
                    <a:stretch>
                      <a:fillRect/>
                    </a:stretch>
                  </pic:blipFill>
                  <pic:spPr bwMode="auto">
                    <a:xfrm>
                      <a:off x="0" y="0"/>
                      <a:ext cx="3286125" cy="2466975"/>
                    </a:xfrm>
                    <a:prstGeom prst="rect">
                      <a:avLst/>
                    </a:prstGeom>
                  </pic:spPr>
                </pic:pic>
              </a:graphicData>
            </a:graphic>
          </wp:inline>
        </w:drawing>
      </w:r>
      <w:bookmarkStart w:id="1" w:name="i-2"/>
      <w:bookmarkEnd w:id="1"/>
      <w:r>
        <w:rPr>
          <w:color w:val="000000"/>
        </w:rPr>
        <w:t xml:space="preserve">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evaluate the credit quality of individual securities in the portfolio quarterly to determine whether we expect to recover the amortized cost basis of the investments in unrealized loss positions. This evaluation considers, but is not necessarily limited to, the following factors, the relative significance of which varies depending on the circumstances pertinent to each individual security:</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Whether we intend to sell the security prior to recovery of its amortized cost basis;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Whether it is more likely than not that we will be required to sell the security prior to recovery of its amortized cost basis;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extent to which fair value is less than amortized cost;</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Adverse conditions specifically related to the security, a sector, an industry or geographic area;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Changes in the financial condition of the issuer or underlying loan obligors;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payment structure and remaining payment terms of the security, including levels of subordination or over-collateralization;</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Failure of the issuer to make scheduled payments;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Changes in external credit ratings;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Relevant market data; and</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Estimated prepayments, defaults, and the value and performance of underlying collateral at the individual security level.</w:t>
      </w:r>
    </w:p>
    <w:p>
      <w:pPr>
        <w:pStyle w:val="TextBody"/>
        <w:bidi w:val="0"/>
        <w:spacing w:lineRule="auto" w:line="288" w:before="24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regularly engage with bond managers to monitor trends in underlying collateral, including potential downgrades and subsequent cash flow diversions, liquidity, ratings migration, and any other relevant developments.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not sold, and do not anticipate the need to sell, securities in unrealized loss positions to generate liquidity. At June 30, 2026, the Company did not have an intent to sell securities that were in significant unrealized loss positions, and it was not more likely than not that the Company would be required to sell these securities before recovery of the amortized cost basis, which may be at maturity. The substantial majority of our investment securities are eligible to be pledged at either the FHLB or FRB.</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majority of our investment securities are classified within level 2 of the fair value hierarchy. U.S. Treasury securities and marketable equity securities are classified within level 1 of the hierarchy. For additional disclosure related to the fair values of investment securities, see Note 8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48285"/>
                <wp:effectExtent l="0" t="0" r="0" b="0"/>
                <wp:wrapNone/>
                <wp:docPr id="48" name="Frame4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weighted average prospective yields based on current rates, categorized by scheduled maturity, for AFS investment securities as of June 30, 2026. Scheduled maturities have been adjusted for anticipated prepayments when applicable. Yields on tax-exempt securities have been calculated on a tax-equivalent basis, based on a federal income tax rate of 21%:</w:t>
      </w:r>
    </w:p>
    <w:tbl>
      <w:tblPr>
        <w:tblW w:w="10205" w:type="dxa"/>
        <w:jc w:val="left"/>
        <w:tblInd w:w="0" w:type="dxa"/>
        <w:tblLayout w:type="fixed"/>
        <w:tblCellMar>
          <w:top w:w="28" w:type="dxa"/>
          <w:left w:w="28" w:type="dxa"/>
          <w:bottom w:w="28" w:type="dxa"/>
          <w:right w:w="28" w:type="dxa"/>
        </w:tblCellMar>
      </w:tblPr>
      <w:tblGrid>
        <w:gridCol w:w="1166"/>
        <w:gridCol w:w="788"/>
        <w:gridCol w:w="791"/>
        <w:gridCol w:w="109"/>
        <w:gridCol w:w="109"/>
        <w:gridCol w:w="298"/>
        <w:gridCol w:w="241"/>
        <w:gridCol w:w="475"/>
        <w:gridCol w:w="109"/>
        <w:gridCol w:w="109"/>
        <w:gridCol w:w="109"/>
        <w:gridCol w:w="109"/>
        <w:gridCol w:w="109"/>
        <w:gridCol w:w="347"/>
        <w:gridCol w:w="225"/>
        <w:gridCol w:w="561"/>
        <w:gridCol w:w="109"/>
        <w:gridCol w:w="109"/>
        <w:gridCol w:w="109"/>
        <w:gridCol w:w="109"/>
        <w:gridCol w:w="109"/>
        <w:gridCol w:w="337"/>
        <w:gridCol w:w="228"/>
        <w:gridCol w:w="552"/>
        <w:gridCol w:w="109"/>
        <w:gridCol w:w="109"/>
        <w:gridCol w:w="109"/>
        <w:gridCol w:w="109"/>
        <w:gridCol w:w="109"/>
        <w:gridCol w:w="283"/>
        <w:gridCol w:w="246"/>
        <w:gridCol w:w="431"/>
        <w:gridCol w:w="109"/>
        <w:gridCol w:w="109"/>
        <w:gridCol w:w="109"/>
        <w:gridCol w:w="109"/>
        <w:gridCol w:w="109"/>
        <w:gridCol w:w="255"/>
        <w:gridCol w:w="256"/>
        <w:gridCol w:w="327"/>
      </w:tblGrid>
      <w:tr>
        <w:trPr/>
        <w:tc>
          <w:tcPr>
            <w:tcW w:w="116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Within 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 One Year</w:t>
              <w:br/>
              <w:t>Through Five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 Five Years</w:t>
              <w:br/>
              <w:t>Through Ten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 Ten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residential MBS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and sponsored enterprise commercial MBS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 residential MBS and CMOs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 commercial MBS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 family real estate-backed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Non-mortgage asset-backed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Loans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composition of the loan portfolio at the dates indicated (dollars in thousands):</w:t>
      </w:r>
    </w:p>
    <w:tbl>
      <w:tblPr>
        <w:tblW w:w="10205" w:type="dxa"/>
        <w:jc w:val="left"/>
        <w:tblInd w:w="0" w:type="dxa"/>
        <w:tblLayout w:type="fixed"/>
        <w:tblCellMar>
          <w:top w:w="28" w:type="dxa"/>
          <w:left w:w="28" w:type="dxa"/>
          <w:bottom w:w="28" w:type="dxa"/>
          <w:right w:w="28" w:type="dxa"/>
        </w:tblCellMar>
      </w:tblPr>
      <w:tblGrid>
        <w:gridCol w:w="1070"/>
        <w:gridCol w:w="907"/>
        <w:gridCol w:w="913"/>
        <w:gridCol w:w="211"/>
        <w:gridCol w:w="1081"/>
        <w:gridCol w:w="109"/>
        <w:gridCol w:w="109"/>
        <w:gridCol w:w="109"/>
        <w:gridCol w:w="109"/>
        <w:gridCol w:w="393"/>
        <w:gridCol w:w="340"/>
        <w:gridCol w:w="791"/>
        <w:gridCol w:w="109"/>
        <w:gridCol w:w="109"/>
        <w:gridCol w:w="109"/>
        <w:gridCol w:w="211"/>
        <w:gridCol w:w="1081"/>
        <w:gridCol w:w="109"/>
        <w:gridCol w:w="109"/>
        <w:gridCol w:w="109"/>
        <w:gridCol w:w="109"/>
        <w:gridCol w:w="393"/>
        <w:gridCol w:w="340"/>
        <w:gridCol w:w="791"/>
        <w:gridCol w:w="109"/>
        <w:gridCol w:w="109"/>
        <w:gridCol w:w="109"/>
        <w:gridCol w:w="157"/>
      </w:tblGrid>
      <w:tr>
        <w:trPr/>
        <w:tc>
          <w:tcPr>
            <w:tcW w:w="107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Total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 commercial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 commercial real estate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warehouse lending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Pinnacle - municipal finance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core loans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17,201,783 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17,187,961 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Franchise and equipment finance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commercial </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17,273,523 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17,290,707 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 single family residential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insured residential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residential</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23,929,073 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23,711,557 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24,053,882 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Commercial loans and leases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Commercial loans include a diverse portfolio of commercial and industrial loans and lines of credit, loans secured by owner-occupied commercial real-estate, income-producing non-owner occupied commercial real estate, construction loans, SBA loans, mortgage warehouse lines of credit, municipal loans and leases and franchise and equipment finance loans and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48285"/>
                <wp:effectExtent l="0" t="0" r="0" b="0"/>
                <wp:wrapNone/>
                <wp:docPr id="49" name="Frame4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Commercial Real Estate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real estate loans include term loans secured by non-owner occupied income producing properties including rental apartments, industrial properties, retail shopping centers, free-standing single-tenant buildings, medical and other office buildings, warehouse facilities, hotels, and real estate secured lines of credit. The Company’s commercial real estate underwriting standards most often provide for loan terms of five to seven years, with amortization schedules of no more than thirty years.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distribution of commercial real estate loans by property type, along with weighted average DSCRs and LTVs at the dates indicated (dollars in thousands):</w:t>
      </w:r>
    </w:p>
    <w:tbl>
      <w:tblPr>
        <w:tblW w:w="10205" w:type="dxa"/>
        <w:jc w:val="left"/>
        <w:tblInd w:w="0" w:type="dxa"/>
        <w:tblLayout w:type="fixed"/>
        <w:tblCellMar>
          <w:top w:w="28" w:type="dxa"/>
          <w:left w:w="28" w:type="dxa"/>
          <w:bottom w:w="28" w:type="dxa"/>
          <w:right w:w="28" w:type="dxa"/>
        </w:tblCellMar>
      </w:tblPr>
      <w:tblGrid>
        <w:gridCol w:w="549"/>
        <w:gridCol w:w="411"/>
        <w:gridCol w:w="415"/>
        <w:gridCol w:w="211"/>
        <w:gridCol w:w="976"/>
        <w:gridCol w:w="109"/>
        <w:gridCol w:w="109"/>
        <w:gridCol w:w="109"/>
        <w:gridCol w:w="109"/>
        <w:gridCol w:w="331"/>
        <w:gridCol w:w="200"/>
        <w:gridCol w:w="499"/>
        <w:gridCol w:w="109"/>
        <w:gridCol w:w="109"/>
        <w:gridCol w:w="109"/>
        <w:gridCol w:w="180"/>
        <w:gridCol w:w="181"/>
        <w:gridCol w:w="271"/>
        <w:gridCol w:w="109"/>
        <w:gridCol w:w="109"/>
        <w:gridCol w:w="109"/>
        <w:gridCol w:w="226"/>
        <w:gridCol w:w="210"/>
        <w:gridCol w:w="527"/>
        <w:gridCol w:w="109"/>
        <w:gridCol w:w="109"/>
        <w:gridCol w:w="109"/>
        <w:gridCol w:w="180"/>
        <w:gridCol w:w="181"/>
        <w:gridCol w:w="301"/>
        <w:gridCol w:w="109"/>
        <w:gridCol w:w="109"/>
        <w:gridCol w:w="109"/>
        <w:gridCol w:w="355"/>
        <w:gridCol w:w="355"/>
        <w:gridCol w:w="356"/>
        <w:gridCol w:w="109"/>
        <w:gridCol w:w="109"/>
        <w:gridCol w:w="109"/>
        <w:gridCol w:w="349"/>
        <w:gridCol w:w="220"/>
        <w:gridCol w:w="650"/>
      </w:tblGrid>
      <w:tr>
        <w:trPr/>
        <w:tc>
          <w:tcPr>
            <w:tcW w:w="54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 of Total 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New York Tri-State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DSCR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LTV</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Warehouse/Industrial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7,006,901 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548"/>
        <w:gridCol w:w="410"/>
        <w:gridCol w:w="415"/>
        <w:gridCol w:w="211"/>
        <w:gridCol w:w="976"/>
        <w:gridCol w:w="109"/>
        <w:gridCol w:w="109"/>
        <w:gridCol w:w="109"/>
        <w:gridCol w:w="109"/>
        <w:gridCol w:w="333"/>
        <w:gridCol w:w="201"/>
        <w:gridCol w:w="504"/>
        <w:gridCol w:w="109"/>
        <w:gridCol w:w="109"/>
        <w:gridCol w:w="109"/>
        <w:gridCol w:w="180"/>
        <w:gridCol w:w="181"/>
        <w:gridCol w:w="271"/>
        <w:gridCol w:w="109"/>
        <w:gridCol w:w="109"/>
        <w:gridCol w:w="109"/>
        <w:gridCol w:w="226"/>
        <w:gridCol w:w="210"/>
        <w:gridCol w:w="526"/>
        <w:gridCol w:w="109"/>
        <w:gridCol w:w="109"/>
        <w:gridCol w:w="109"/>
        <w:gridCol w:w="180"/>
        <w:gridCol w:w="181"/>
        <w:gridCol w:w="301"/>
        <w:gridCol w:w="109"/>
        <w:gridCol w:w="109"/>
        <w:gridCol w:w="109"/>
        <w:gridCol w:w="354"/>
        <w:gridCol w:w="354"/>
        <w:gridCol w:w="355"/>
        <w:gridCol w:w="109"/>
        <w:gridCol w:w="109"/>
        <w:gridCol w:w="109"/>
        <w:gridCol w:w="349"/>
        <w:gridCol w:w="219"/>
        <w:gridCol w:w="649"/>
      </w:tblGrid>
      <w:tr>
        <w:trPr/>
        <w:tc>
          <w:tcPr>
            <w:tcW w:w="54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2"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Percent of Total CRE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New York Tri-State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DSCR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LTV</w:t>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Warehouse/Industrial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Geographic distribution in the table above is based on location of the underlying collateral property. LTVs and DSCRs are based on the most recent available information; if current appraisals are not available, LTVs are adjusted by our models based on current and forecasted sub-market dynamics. DSCRs are calculated based on current contractually required payments, which in some cases may be interest only and on current levels of operating cash flows. DSCR calculations do not include secondary forms of repayment or pro-forma rental payments on in-place leases that are currently in initial rent abatement periods.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Included in New York tri-state multifamily loans in the tables above is approximately $99 million of rent regulated exposure as of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48285"/>
                <wp:effectExtent l="0" t="0" r="0" b="0"/>
                <wp:wrapNone/>
                <wp:docPr id="50" name="Frame4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CRE loans maturing in the next 12 months by property type at June 30, 2026 (dollars in thousands). 13% of the total CRE portfolio, with a weighted average coupon rate of 4.29%, is fixed rate to the borrower and maturing in the next 12 months.</w:t>
      </w:r>
    </w:p>
    <w:tbl>
      <w:tblPr>
        <w:tblW w:w="10205" w:type="dxa"/>
        <w:jc w:val="left"/>
        <w:tblInd w:w="0" w:type="dxa"/>
        <w:tblLayout w:type="fixed"/>
        <w:tblCellMar>
          <w:top w:w="28" w:type="dxa"/>
          <w:left w:w="28" w:type="dxa"/>
          <w:bottom w:w="28" w:type="dxa"/>
          <w:right w:w="28" w:type="dxa"/>
        </w:tblCellMar>
      </w:tblPr>
      <w:tblGrid>
        <w:gridCol w:w="561"/>
        <w:gridCol w:w="427"/>
        <w:gridCol w:w="432"/>
        <w:gridCol w:w="265"/>
        <w:gridCol w:w="1228"/>
        <w:gridCol w:w="136"/>
        <w:gridCol w:w="109"/>
        <w:gridCol w:w="109"/>
        <w:gridCol w:w="109"/>
        <w:gridCol w:w="330"/>
        <w:gridCol w:w="330"/>
        <w:gridCol w:w="824"/>
        <w:gridCol w:w="109"/>
        <w:gridCol w:w="109"/>
        <w:gridCol w:w="109"/>
        <w:gridCol w:w="349"/>
        <w:gridCol w:w="1369"/>
        <w:gridCol w:w="180"/>
        <w:gridCol w:w="109"/>
        <w:gridCol w:w="109"/>
        <w:gridCol w:w="109"/>
        <w:gridCol w:w="109"/>
        <w:gridCol w:w="109"/>
        <w:gridCol w:w="537"/>
        <w:gridCol w:w="504"/>
        <w:gridCol w:w="1264"/>
        <w:gridCol w:w="109"/>
        <w:gridCol w:w="161"/>
      </w:tblGrid>
      <w:tr>
        <w:trPr/>
        <w:tc>
          <w:tcPr>
            <w:tcW w:w="56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Maturing in the Next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Maturing in the Next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Fixed Rate or Swapped Maturing Next 12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Fixed Rate to Borrower Maturing in Next 12 Months as a % of Total Portfolio</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482,426 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282,030 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Warehouse/Industrial</w:t>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300,515 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134,093 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177,893 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143,346 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w:t>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250,177 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1,918,148 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924,736 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scheduled contractual maturities of the CRE portfolio by property type at June 30, 2026 (in thousands):</w:t>
      </w:r>
    </w:p>
    <w:tbl>
      <w:tblPr>
        <w:tblW w:w="12115" w:type="dxa"/>
        <w:jc w:val="left"/>
        <w:tblInd w:w="0" w:type="dxa"/>
        <w:tblLayout w:type="fixed"/>
        <w:tblCellMar>
          <w:top w:w="28" w:type="dxa"/>
          <w:left w:w="28" w:type="dxa"/>
          <w:bottom w:w="28" w:type="dxa"/>
          <w:right w:w="28" w:type="dxa"/>
        </w:tblCellMar>
      </w:tblPr>
      <w:tblGrid>
        <w:gridCol w:w="496"/>
        <w:gridCol w:w="343"/>
        <w:gridCol w:w="347"/>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49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Warehouse/Industrial</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1,703,612 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1,509,453 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1,303,326 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1,364,739 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1,464,053 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1,091,830 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1,005,201 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7,006,901 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office segment totaled $1.4 billion at June 30, 2026. Medical office comprised approximately $343 million or 25% of the total office portfolio.</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Non-performing CRE loans, excluding SBA loans, totaled $30 million at June 30, 2026 and were entirely comprised of office exposure. Also see the section entitled "Asset Quality" below.</w:t>
      </w:r>
    </w:p>
    <w:p>
      <w:pPr>
        <w:pStyle w:val="TextBody"/>
        <w:bidi w:val="0"/>
        <w:spacing w:lineRule="auto" w:line="288" w:before="160" w:after="16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Commercial and Industrial</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Commercial and industrial loans are typically made to small, middle market and larger corporate businesses and not-for-profit entities and include equipment loans, secured and unsecured working capital facilities, formula-based loans, subscription finance lines of credit, trade finance, SBA product offerings, business acquisition finance credit facilities, credit facilities to institutional real estate entities such as REITs and commercial real estate investment funds, and a small amount of commercial credit cards. These loans may be structured as term loans, typically with maturities of five to seven years, or revolving lines of credit which may have multi-year maturities. In addition to financing provided by Pinnacle, the Bank provides financing to state and local governmental entities generally within our primary geographic markets. The Bank makes loans secured by owner-occupied commercial real estate that typically have risk profiles more closely aligned with that of commercial and industrial loans than with other types of commercial real estate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48285"/>
                <wp:effectExtent l="0" t="0" r="0" b="0"/>
                <wp:wrapNone/>
                <wp:docPr id="51" name="Frame4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exposure in the C&amp;I portfolio by industry, at June 30, 2026 (dollars in thousands):</w:t>
      </w:r>
    </w:p>
    <w:tbl>
      <w:tblPr>
        <w:tblW w:w="7884" w:type="dxa"/>
        <w:jc w:val="left"/>
        <w:tblInd w:w="0" w:type="dxa"/>
        <w:tblLayout w:type="fixed"/>
        <w:tblCellMar>
          <w:top w:w="28" w:type="dxa"/>
          <w:left w:w="28" w:type="dxa"/>
          <w:bottom w:w="28" w:type="dxa"/>
          <w:right w:w="28" w:type="dxa"/>
        </w:tblCellMar>
      </w:tblPr>
      <w:tblGrid>
        <w:gridCol w:w="1581"/>
        <w:gridCol w:w="1390"/>
        <w:gridCol w:w="1393"/>
        <w:gridCol w:w="222"/>
        <w:gridCol w:w="1028"/>
        <w:gridCol w:w="114"/>
        <w:gridCol w:w="109"/>
        <w:gridCol w:w="109"/>
        <w:gridCol w:w="109"/>
        <w:gridCol w:w="345"/>
        <w:gridCol w:w="287"/>
        <w:gridCol w:w="716"/>
        <w:gridCol w:w="109"/>
        <w:gridCol w:w="109"/>
        <w:gridCol w:w="109"/>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Amortized Cost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1,217,671 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Care</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719,805 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Trade</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706,384 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Educational Services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 / Warehousing</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685,240 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 and Rental &amp; Leasing</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Scientific, and Technical Services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Retail Trade</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Administration</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Arts, Entertainment, and Recreation</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Support and Waste Management</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Accommodation and Food Services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8,681,166 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Includes $2.0 billion of owner occupied real estate.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chart presents the geographic distribution of the commercial and industrial portfolio at June 30, 2026: </w:t>
      </w:r>
    </w:p>
    <w:tbl>
      <w:tblPr>
        <w:tblW w:w="2654" w:type="dxa"/>
        <w:jc w:val="left"/>
        <w:tblInd w:w="0" w:type="dxa"/>
        <w:tblLayout w:type="fixed"/>
        <w:tblCellMar>
          <w:top w:w="28" w:type="dxa"/>
          <w:left w:w="28" w:type="dxa"/>
          <w:bottom w:w="28" w:type="dxa"/>
          <w:right w:w="28" w:type="dxa"/>
        </w:tblCellMar>
      </w:tblPr>
      <w:tblGrid>
        <w:gridCol w:w="850"/>
        <w:gridCol w:w="747"/>
        <w:gridCol w:w="1057"/>
      </w:tblGrid>
      <w:tr>
        <w:trPr/>
        <w:tc>
          <w:tcPr>
            <w:tcW w:w="85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C&amp;I Geographic Distribution</w:t>
            </w:r>
          </w:p>
        </w:tc>
      </w:tr>
    </w:tbl>
    <w:p>
      <w:pPr>
        <w:pStyle w:val="TextBody"/>
        <w:bidi w:val="0"/>
        <w:spacing w:before="160" w:after="160"/>
        <w:ind w:left="0" w:right="0" w:firstLine="360"/>
        <w:jc w:val="left"/>
        <w:rPr/>
      </w:pPr>
      <w:r>
        <w:rPr/>
        <w:drawing>
          <wp:inline distT="0" distB="0" distL="0" distR="0">
            <wp:extent cx="4381500" cy="2009775"/>
            <wp:effectExtent l="0" t="0" r="0" b="0"/>
            <wp:docPr id="5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 descr=""/>
                    <pic:cNvPicPr>
                      <a:picLocks noChangeAspect="1" noChangeArrowheads="1"/>
                    </pic:cNvPicPr>
                  </pic:nvPicPr>
                  <pic:blipFill>
                    <a:blip r:embed="rId4"/>
                    <a:stretch>
                      <a:fillRect/>
                    </a:stretch>
                  </pic:blipFill>
                  <pic:spPr bwMode="auto">
                    <a:xfrm>
                      <a:off x="0" y="0"/>
                      <a:ext cx="4381500" cy="2009775"/>
                    </a:xfrm>
                    <a:prstGeom prst="rect">
                      <a:avLst/>
                    </a:prstGeom>
                  </pic:spPr>
                </pic:pic>
              </a:graphicData>
            </a:graphic>
          </wp:inline>
        </w:drawing>
      </w:r>
      <w:bookmarkStart w:id="2" w:name="i-3"/>
      <w:bookmarkEnd w:id="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48285"/>
                <wp:effectExtent l="0" t="0" r="0" b="0"/>
                <wp:wrapNone/>
                <wp:docPr id="53" name="Frame5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chart presents a further breakdown of the NDFI portfolio at June 30, 2026: </w:t>
      </w:r>
    </w:p>
    <w:tbl>
      <w:tblPr>
        <w:tblW w:w="2504" w:type="dxa"/>
        <w:jc w:val="left"/>
        <w:tblInd w:w="0" w:type="dxa"/>
        <w:tblLayout w:type="fixed"/>
        <w:tblCellMar>
          <w:top w:w="28" w:type="dxa"/>
          <w:left w:w="28" w:type="dxa"/>
          <w:bottom w:w="28" w:type="dxa"/>
          <w:right w:w="28" w:type="dxa"/>
        </w:tblCellMar>
      </w:tblPr>
      <w:tblGrid>
        <w:gridCol w:w="802"/>
        <w:gridCol w:w="705"/>
        <w:gridCol w:w="997"/>
      </w:tblGrid>
      <w:tr>
        <w:trPr/>
        <w:tc>
          <w:tcPr>
            <w:tcW w:w="8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NDFI Portfolio Distribution</w:t>
            </w:r>
          </w:p>
        </w:tc>
      </w:tr>
    </w:tbl>
    <w:p>
      <w:pPr>
        <w:pStyle w:val="TextBody"/>
        <w:bidi w:val="0"/>
        <w:spacing w:before="160" w:after="160"/>
        <w:ind w:left="0" w:right="0" w:firstLine="360"/>
        <w:jc w:val="left"/>
        <w:rPr/>
      </w:pPr>
      <w:r>
        <w:rPr/>
        <w:drawing>
          <wp:inline distT="0" distB="0" distL="0" distR="0">
            <wp:extent cx="4381500" cy="2009775"/>
            <wp:effectExtent l="0" t="0" r="0" b="0"/>
            <wp:docPr id="5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 descr=""/>
                    <pic:cNvPicPr>
                      <a:picLocks noChangeAspect="1" noChangeArrowheads="1"/>
                    </pic:cNvPicPr>
                  </pic:nvPicPr>
                  <pic:blipFill>
                    <a:blip r:embed="rId5"/>
                    <a:stretch>
                      <a:fillRect/>
                    </a:stretch>
                  </pic:blipFill>
                  <pic:spPr bwMode="auto">
                    <a:xfrm>
                      <a:off x="0" y="0"/>
                      <a:ext cx="4381500" cy="2009775"/>
                    </a:xfrm>
                    <a:prstGeom prst="rect">
                      <a:avLst/>
                    </a:prstGeom>
                  </pic:spPr>
                </pic:pic>
              </a:graphicData>
            </a:graphic>
          </wp:inline>
        </w:drawing>
      </w:r>
      <w:bookmarkStart w:id="3" w:name="i-4"/>
      <w:bookmarkEnd w:id="3"/>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NDFI exposure totaled $1.3 billion, or 5% of total loans, at June 30, 2026. The "Other" category in the chart above includes primarily REITs, B2C, private equity funds, insurance carriers and investment services. The substantial majority of the NDFI portfolio is pass rated, with two loans totaling $25 million rated non-pass.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franchise and equipment finance portfolio is comprised of loans originated by Bridge including (i) franchise acquisition, expansion and equipment financing facilities and (ii) transportation equipment finance. We expect balances in these segments will continue to decline.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Pinnacle portfolio consists of essential-use equipment financing to state and local governmental entities on a national basis directly and through vendor programs and alliances, with financing structures including equipment lease purchase agreements, direct (private placement) bond re-fundings and loan agreements.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Residential mortgages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composition of residential loans at the dates indicated (in thousands):</w:t>
      </w:r>
    </w:p>
    <w:tbl>
      <w:tblPr>
        <w:tblW w:w="5838" w:type="dxa"/>
        <w:jc w:val="center"/>
        <w:tblInd w:w="0" w:type="dxa"/>
        <w:tblLayout w:type="fixed"/>
        <w:tblCellMar>
          <w:top w:w="28" w:type="dxa"/>
          <w:left w:w="28" w:type="dxa"/>
          <w:bottom w:w="28" w:type="dxa"/>
          <w:right w:w="28" w:type="dxa"/>
        </w:tblCellMar>
      </w:tblPr>
      <w:tblGrid>
        <w:gridCol w:w="966"/>
        <w:gridCol w:w="851"/>
        <w:gridCol w:w="853"/>
        <w:gridCol w:w="211"/>
        <w:gridCol w:w="976"/>
        <w:gridCol w:w="109"/>
        <w:gridCol w:w="109"/>
        <w:gridCol w:w="109"/>
        <w:gridCol w:w="109"/>
        <w:gridCol w:w="243"/>
        <w:gridCol w:w="1125"/>
        <w:gridCol w:w="177"/>
      </w:tblGrid>
      <w:tr>
        <w:trPr/>
        <w:tc>
          <w:tcPr>
            <w:tcW w:w="96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1-4 single family residential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6,091,959 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insured residential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6,983,000 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1-4 single family residential loan portfolio, excluding government insured residential loans, is primarily comprised of prime jumbo loans purchased through established correspondent channels. 1-4 single family residential mortgage loans are primarily closed-end, first lien jumbo mortgages for the purchase or re-finance of owner occupied property. The loans have terms ranging from 10 to 30 years, with either fixed or adjustable interest rates. At June 30, 2026, the majority of the 1-4 single family residential loan portfolio, excluding government insured residential loans, was owner-occupied, with 81% primary residence, 5% second homes and 14% investor-owned properties.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acquires non-performing FHA and VA insured mortgages from third parties who have exercised their right to purchase these loans out of GNMA securitizations upon default ("Buyout Loans"). Buyout Loans that re-perform, either through modification or self-cure, may be eligible for re-securitization. The balance of Buyout Loans totaled $814 million at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48285"/>
                <wp:effectExtent l="0" t="0" r="0" b="0"/>
                <wp:wrapNone/>
                <wp:docPr id="55" name="Frame5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charts present the distribution of the 1-4 single family residential mortgage portfolio by product type at the dates indicated:</w:t>
      </w:r>
    </w:p>
    <w:tbl>
      <w:tblPr>
        <w:tblW w:w="3385" w:type="dxa"/>
        <w:jc w:val="left"/>
        <w:tblInd w:w="0" w:type="dxa"/>
        <w:tblLayout w:type="fixed"/>
        <w:tblCellMar>
          <w:top w:w="28" w:type="dxa"/>
          <w:left w:w="28" w:type="dxa"/>
          <w:bottom w:w="28" w:type="dxa"/>
          <w:right w:w="28" w:type="dxa"/>
        </w:tblCellMar>
      </w:tblPr>
      <w:tblGrid>
        <w:gridCol w:w="466"/>
        <w:gridCol w:w="409"/>
        <w:gridCol w:w="414"/>
        <w:gridCol w:w="109"/>
        <w:gridCol w:w="109"/>
        <w:gridCol w:w="109"/>
        <w:gridCol w:w="517"/>
        <w:gridCol w:w="517"/>
        <w:gridCol w:w="735"/>
      </w:tblGrid>
      <w:tr>
        <w:trPr/>
        <w:tc>
          <w:tcPr>
            <w:tcW w:w="4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December 31, 2025</w:t>
            </w:r>
          </w:p>
        </w:tc>
      </w:tr>
    </w:tbl>
    <w:p>
      <w:pPr>
        <w:pStyle w:val="TextBody"/>
        <w:bidi w:val="0"/>
        <w:spacing w:lineRule="auto" w:line="288" w:before="160" w:after="160"/>
        <w:ind w:left="0" w:right="0" w:firstLine="360"/>
        <w:jc w:val="left"/>
        <w:rPr/>
      </w:pPr>
      <w:r>
        <w:rPr/>
        <w:drawing>
          <wp:inline distT="0" distB="0" distL="0" distR="0">
            <wp:extent cx="2857500" cy="1914525"/>
            <wp:effectExtent l="0" t="0" r="0" b="0"/>
            <wp:docPr id="5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 descr=""/>
                    <pic:cNvPicPr>
                      <a:picLocks noChangeAspect="1" noChangeArrowheads="1"/>
                    </pic:cNvPicPr>
                  </pic:nvPicPr>
                  <pic:blipFill>
                    <a:blip r:embed="rId6"/>
                    <a:stretch>
                      <a:fillRect/>
                    </a:stretch>
                  </pic:blipFill>
                  <pic:spPr bwMode="auto">
                    <a:xfrm>
                      <a:off x="0" y="0"/>
                      <a:ext cx="2857500" cy="1914525"/>
                    </a:xfrm>
                    <a:prstGeom prst="rect">
                      <a:avLst/>
                    </a:prstGeom>
                  </pic:spPr>
                </pic:pic>
              </a:graphicData>
            </a:graphic>
          </wp:inline>
        </w:drawing>
      </w:r>
      <w:bookmarkStart w:id="4" w:name="i-5"/>
      <w:bookmarkEnd w:id="4"/>
      <w:r>
        <w:rPr>
          <w:color w:val="000000"/>
        </w:rPr>
        <w:t xml:space="preserve"> </w:t>
      </w:r>
      <w:r>
        <w:rPr/>
        <w:drawing>
          <wp:inline distT="0" distB="0" distL="0" distR="0">
            <wp:extent cx="3562350" cy="1914525"/>
            <wp:effectExtent l="0" t="0" r="0" b="0"/>
            <wp:docPr id="5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6" descr=""/>
                    <pic:cNvPicPr>
                      <a:picLocks noChangeAspect="1" noChangeArrowheads="1"/>
                    </pic:cNvPicPr>
                  </pic:nvPicPr>
                  <pic:blipFill>
                    <a:blip r:embed="rId7"/>
                    <a:stretch>
                      <a:fillRect/>
                    </a:stretch>
                  </pic:blipFill>
                  <pic:spPr bwMode="auto">
                    <a:xfrm>
                      <a:off x="0" y="0"/>
                      <a:ext cx="3562350" cy="1914525"/>
                    </a:xfrm>
                    <a:prstGeom prst="rect">
                      <a:avLst/>
                    </a:prstGeom>
                  </pic:spPr>
                </pic:pic>
              </a:graphicData>
            </a:graphic>
          </wp:inline>
        </w:drawing>
      </w:r>
      <w:bookmarkStart w:id="5" w:name="i-6"/>
      <w:bookmarkEnd w:id="5"/>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five states with the largest geographic concentrations of 1-4 single family residential loans, excluding government insured residential loans, at the dates indicated (dollars in thousands):</w:t>
      </w:r>
    </w:p>
    <w:tbl>
      <w:tblPr>
        <w:tblW w:w="7274" w:type="dxa"/>
        <w:jc w:val="left"/>
        <w:tblInd w:w="0" w:type="dxa"/>
        <w:tblLayout w:type="fixed"/>
        <w:tblCellMar>
          <w:top w:w="28" w:type="dxa"/>
          <w:left w:w="28" w:type="dxa"/>
          <w:bottom w:w="28" w:type="dxa"/>
          <w:right w:w="28" w:type="dxa"/>
        </w:tblCellMar>
      </w:tblPr>
      <w:tblGrid>
        <w:gridCol w:w="342"/>
        <w:gridCol w:w="301"/>
        <w:gridCol w:w="303"/>
        <w:gridCol w:w="211"/>
        <w:gridCol w:w="976"/>
        <w:gridCol w:w="109"/>
        <w:gridCol w:w="109"/>
        <w:gridCol w:w="109"/>
        <w:gridCol w:w="109"/>
        <w:gridCol w:w="345"/>
        <w:gridCol w:w="287"/>
        <w:gridCol w:w="716"/>
        <w:gridCol w:w="109"/>
        <w:gridCol w:w="109"/>
        <w:gridCol w:w="109"/>
        <w:gridCol w:w="211"/>
        <w:gridCol w:w="976"/>
        <w:gridCol w:w="109"/>
        <w:gridCol w:w="109"/>
        <w:gridCol w:w="109"/>
        <w:gridCol w:w="109"/>
        <w:gridCol w:w="327"/>
        <w:gridCol w:w="289"/>
        <w:gridCol w:w="791"/>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357" w:type="dxa"/>
            <w:gridSpan w:val="12"/>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Total</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5,807,912 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lease equipment, net</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lease equipment, net totaled $157 million and $171 million at June 30, 2026 and December 31, 2025, respectively, consisting primarily of railcars and other transportation equipment. We expect the balance of operating lease equipment to continue to decline as this product offering is no longer considered core to our business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Asset Quality</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Commercial Loans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 robust credit risk management framework, an experienced team to lead the workout and recovery process for the commercial and commercial real estate portfolios and a dedicated internal credit review function. Loan performance is monitored by our credit administration, portfolio management and workout and recovery departments. Risk ratings are updated continuously; generally, commercial relationships with balances greater than $3 million, are re-evaluated at least annually and more frequently if circumstances indicate that a change in risk rating may be warranted. Homogenous groups of smaller balance commercial loans may be monitored collectively. The credit quality and risk rating of commercial loans as well as our underwriting and portfolio management practices are regularly reviewed by our internal independent credit review department.</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internal risk rating is the best indicator of the credit quality of commercial loans. The Company utilizes a 16-grade internal asset risk classification system as part of its efforts to monitor and maintain commercial asset quality. The special mention rating is considered a transitional rating for loans exhibiting potential credit weaknesses that could result in deterioration of repayment prospects at some future date if not checked or corrected and that deserve management’s close attention. These borrowers may exhibit declining cash flows or revenues or increasing leverage. Loans with well-defined credit weaknesses that may result in a loss if the deficiencies are not corrected are assigned a risk rating of substandard. These borrowers may exhibit payment defaults, inadequate cash flows from current operations, operating losses, increasing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48285"/>
                <wp:effectExtent l="0" t="0" r="0" b="0"/>
                <wp:wrapNone/>
                <wp:docPr id="58" name="Frame5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sheet leverage, project cost overruns, unreasonable construction delays, exhausted interest reserves, declining collateral values, frequent overdrafts or past due real estate taxes. Loans with weaknesses so severe that collection in full is highly questionable or improbable, but because of certain reasonably specific pending factors have not been charged off, are assigned an internal risk rating of doubtful.</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commercial credit exposure, based on internal risk rating, at the dates indicated (dollars in thousands):</w:t>
      </w:r>
    </w:p>
    <w:tbl>
      <w:tblPr>
        <w:tblW w:w="15189" w:type="dxa"/>
        <w:jc w:val="left"/>
        <w:tblInd w:w="0" w:type="dxa"/>
        <w:tblLayout w:type="fixed"/>
        <w:tblCellMar>
          <w:top w:w="28" w:type="dxa"/>
          <w:left w:w="28" w:type="dxa"/>
          <w:bottom w:w="28" w:type="dxa"/>
          <w:right w:w="28" w:type="dxa"/>
        </w:tblCellMar>
      </w:tblPr>
      <w:tblGrid>
        <w:gridCol w:w="493"/>
        <w:gridCol w:w="335"/>
        <w:gridCol w:w="223"/>
        <w:gridCol w:w="196"/>
        <w:gridCol w:w="871"/>
        <w:gridCol w:w="109"/>
        <w:gridCol w:w="109"/>
        <w:gridCol w:w="109"/>
        <w:gridCol w:w="109"/>
        <w:gridCol w:w="109"/>
        <w:gridCol w:w="109"/>
        <w:gridCol w:w="196"/>
        <w:gridCol w:w="961"/>
        <w:gridCol w:w="109"/>
        <w:gridCol w:w="109"/>
        <w:gridCol w:w="109"/>
        <w:gridCol w:w="109"/>
        <w:gridCol w:w="329"/>
        <w:gridCol w:w="227"/>
        <w:gridCol w:w="537"/>
        <w:gridCol w:w="109"/>
        <w:gridCol w:w="109"/>
        <w:gridCol w:w="109"/>
        <w:gridCol w:w="196"/>
        <w:gridCol w:w="871"/>
        <w:gridCol w:w="109"/>
        <w:gridCol w:w="109"/>
        <w:gridCol w:w="109"/>
        <w:gridCol w:w="109"/>
        <w:gridCol w:w="196"/>
        <w:gridCol w:w="961"/>
        <w:gridCol w:w="109"/>
        <w:gridCol w:w="109"/>
        <w:gridCol w:w="109"/>
        <w:gridCol w:w="109"/>
        <w:gridCol w:w="329"/>
        <w:gridCol w:w="227"/>
        <w:gridCol w:w="537"/>
        <w:gridCol w:w="109"/>
        <w:gridCol w:w="109"/>
        <w:gridCol w:w="109"/>
        <w:gridCol w:w="196"/>
        <w:gridCol w:w="871"/>
        <w:gridCol w:w="109"/>
        <w:gridCol w:w="109"/>
        <w:gridCol w:w="109"/>
        <w:gridCol w:w="109"/>
        <w:gridCol w:w="109"/>
        <w:gridCol w:w="109"/>
        <w:gridCol w:w="196"/>
        <w:gridCol w:w="961"/>
        <w:gridCol w:w="109"/>
        <w:gridCol w:w="109"/>
        <w:gridCol w:w="109"/>
        <w:gridCol w:w="109"/>
        <w:gridCol w:w="329"/>
        <w:gridCol w:w="227"/>
        <w:gridCol w:w="537"/>
        <w:gridCol w:w="109"/>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901" w:type="dxa"/>
            <w:gridSpan w:val="10"/>
            <w:tcBorders/>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901" w:type="dxa"/>
            <w:gridSpan w:val="10"/>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Commercial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Commercial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Commercial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6,525,611 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16,214,161 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6,325,495 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16,226,229 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6,145,173 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16,092,180 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mention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Substandard accruing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Substandard non-accruing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Doubtful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7,006,901 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17,273,523 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6,886,411 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17,278,575 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6,810,871 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17,290,707 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Total criticized and classified loans decreased by $139 million for the six months ended June 30, 2026, while total criticized and classified CRE loans declined by $184 million for the same period. Non-accrual loans declined by $149 million, or 40%, for the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48285"/>
                <wp:effectExtent l="0" t="0" r="0" b="0"/>
                <wp:wrapNone/>
                <wp:docPr id="59" name="Frame5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additional information about special mention and substandard accruing loans at the dates indicated (dollars in thousands). All of these loans are performing. Non-accrual loans are discussed further in the section entitled "Non-performing Assets" below.</w:t>
      </w:r>
    </w:p>
    <w:tbl>
      <w:tblPr>
        <w:tblW w:w="10205" w:type="dxa"/>
        <w:jc w:val="left"/>
        <w:tblInd w:w="0" w:type="dxa"/>
        <w:tblLayout w:type="fixed"/>
        <w:tblCellMar>
          <w:top w:w="28" w:type="dxa"/>
          <w:left w:w="28" w:type="dxa"/>
          <w:bottom w:w="28" w:type="dxa"/>
          <w:right w:w="28" w:type="dxa"/>
        </w:tblCellMar>
      </w:tblPr>
      <w:tblGrid>
        <w:gridCol w:w="728"/>
        <w:gridCol w:w="576"/>
        <w:gridCol w:w="483"/>
        <w:gridCol w:w="216"/>
        <w:gridCol w:w="846"/>
        <w:gridCol w:w="111"/>
        <w:gridCol w:w="109"/>
        <w:gridCol w:w="109"/>
        <w:gridCol w:w="109"/>
        <w:gridCol w:w="273"/>
        <w:gridCol w:w="212"/>
        <w:gridCol w:w="532"/>
        <w:gridCol w:w="109"/>
        <w:gridCol w:w="109"/>
        <w:gridCol w:w="109"/>
        <w:gridCol w:w="216"/>
        <w:gridCol w:w="846"/>
        <w:gridCol w:w="111"/>
        <w:gridCol w:w="109"/>
        <w:gridCol w:w="109"/>
        <w:gridCol w:w="109"/>
        <w:gridCol w:w="343"/>
        <w:gridCol w:w="218"/>
        <w:gridCol w:w="532"/>
        <w:gridCol w:w="109"/>
        <w:gridCol w:w="109"/>
        <w:gridCol w:w="109"/>
        <w:gridCol w:w="216"/>
        <w:gridCol w:w="846"/>
        <w:gridCol w:w="111"/>
        <w:gridCol w:w="109"/>
        <w:gridCol w:w="109"/>
        <w:gridCol w:w="109"/>
        <w:gridCol w:w="324"/>
        <w:gridCol w:w="226"/>
        <w:gridCol w:w="604"/>
      </w:tblGrid>
      <w:tr>
        <w:trPr/>
        <w:tc>
          <w:tcPr>
            <w:tcW w:w="72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Loan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Loan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Loan Segment</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mention:</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Office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and land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 commercial real estate</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177,859 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Substandard accruing:</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CRE </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and land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411,167 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474,592 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 commercial real estate</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Franchise and equipment finance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686,274 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622,436 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674,368 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78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48285"/>
                <wp:effectExtent l="0" t="0" r="0" b="0"/>
                <wp:wrapNone/>
                <wp:docPr id="60" name="Frame5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charts present criticized and classified CRE loans by property type at the dates indicated (in millions):</w:t>
      </w:r>
    </w:p>
    <w:tbl>
      <w:tblPr>
        <w:tblW w:w="3385" w:type="dxa"/>
        <w:jc w:val="left"/>
        <w:tblInd w:w="0" w:type="dxa"/>
        <w:tblLayout w:type="fixed"/>
        <w:tblCellMar>
          <w:top w:w="28" w:type="dxa"/>
          <w:left w:w="28" w:type="dxa"/>
          <w:bottom w:w="28" w:type="dxa"/>
          <w:right w:w="28" w:type="dxa"/>
        </w:tblCellMar>
      </w:tblPr>
      <w:tblGrid>
        <w:gridCol w:w="466"/>
        <w:gridCol w:w="409"/>
        <w:gridCol w:w="414"/>
        <w:gridCol w:w="109"/>
        <w:gridCol w:w="109"/>
        <w:gridCol w:w="109"/>
        <w:gridCol w:w="517"/>
        <w:gridCol w:w="517"/>
        <w:gridCol w:w="735"/>
      </w:tblGrid>
      <w:tr>
        <w:trPr/>
        <w:tc>
          <w:tcPr>
            <w:tcW w:w="4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December 31, 2025</w:t>
            </w:r>
          </w:p>
        </w:tc>
      </w:tr>
    </w:tbl>
    <w:p>
      <w:pPr>
        <w:pStyle w:val="TextBody"/>
        <w:bidi w:val="0"/>
        <w:spacing w:before="160" w:after="160"/>
        <w:ind w:left="0" w:right="0" w:firstLine="360"/>
        <w:jc w:val="left"/>
        <w:rPr/>
      </w:pPr>
      <w:r>
        <w:rPr/>
        <w:drawing>
          <wp:inline distT="0" distB="0" distL="0" distR="0">
            <wp:extent cx="2924175" cy="2466975"/>
            <wp:effectExtent l="0" t="0" r="0" b="0"/>
            <wp:docPr id="6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7" descr=""/>
                    <pic:cNvPicPr>
                      <a:picLocks noChangeAspect="1" noChangeArrowheads="1"/>
                    </pic:cNvPicPr>
                  </pic:nvPicPr>
                  <pic:blipFill>
                    <a:blip r:embed="rId8"/>
                    <a:stretch>
                      <a:fillRect/>
                    </a:stretch>
                  </pic:blipFill>
                  <pic:spPr bwMode="auto">
                    <a:xfrm>
                      <a:off x="0" y="0"/>
                      <a:ext cx="2924175" cy="2466975"/>
                    </a:xfrm>
                    <a:prstGeom prst="rect">
                      <a:avLst/>
                    </a:prstGeom>
                  </pic:spPr>
                </pic:pic>
              </a:graphicData>
            </a:graphic>
          </wp:inline>
        </w:drawing>
      </w:r>
      <w:bookmarkStart w:id="6" w:name="i-7"/>
      <w:bookmarkEnd w:id="6"/>
      <w:r>
        <w:rPr/>
        <w:drawing>
          <wp:inline distT="0" distB="0" distL="0" distR="0">
            <wp:extent cx="3562350" cy="2466975"/>
            <wp:effectExtent l="0" t="0" r="0" b="0"/>
            <wp:docPr id="6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8" descr=""/>
                    <pic:cNvPicPr>
                      <a:picLocks noChangeAspect="1" noChangeArrowheads="1"/>
                    </pic:cNvPicPr>
                  </pic:nvPicPr>
                  <pic:blipFill>
                    <a:blip r:embed="rId9"/>
                    <a:stretch>
                      <a:fillRect/>
                    </a:stretch>
                  </pic:blipFill>
                  <pic:spPr bwMode="auto">
                    <a:xfrm>
                      <a:off x="0" y="0"/>
                      <a:ext cx="3562350" cy="2466975"/>
                    </a:xfrm>
                    <a:prstGeom prst="rect">
                      <a:avLst/>
                    </a:prstGeom>
                  </pic:spPr>
                </pic:pic>
              </a:graphicData>
            </a:graphic>
          </wp:inline>
        </w:drawing>
      </w:r>
      <w:bookmarkStart w:id="7" w:name="i-8"/>
      <w:bookmarkEnd w:id="7"/>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(1)Includes $29 million and $58 million of office exposure at June 30, 2026 and December 31, 2025, respectively. </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Residential Loans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Excluding government insured loans, our residential portfolio consists largely of performing jumbo mortgage loans purchased through established correspondent channels with FICO scores above 720, full documentation, current LTVs of 80% or less and are primarily owner-occupied. Loans with LTVs higher than 80% may be extended to selected credit-worthy borrowers. We perform due diligence on the purchased loans for credit, compliance, counterparty, payment history and property valuation.</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 dedicated residential credit risk management function, and the residential portfolio is monitored by our internal credit review function. Residential mortgage loans are not individually risk rated. Delinquency status is the primary measure we use to monitor the credit quality of these loans. We also consider original LTV and most recently available FICO score to be significant indicators of credit quality for the 1-4 single family residential portfolio, excluding government insured residential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48285"/>
                <wp:effectExtent l="0" t="0" r="0" b="0"/>
                <wp:wrapNone/>
                <wp:docPr id="63" name="Frame5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charts present information about the 1-4 single family residential portfolio, excluding government insured loans, by FICO distribution, LTV distribution and vintage at June 30, 2026:</w:t>
      </w:r>
    </w:p>
    <w:tbl>
      <w:tblPr>
        <w:tblW w:w="47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524"/>
        <w:gridCol w:w="524"/>
        <w:gridCol w:w="526"/>
        <w:gridCol w:w="109"/>
        <w:gridCol w:w="109"/>
        <w:gridCol w:w="109"/>
        <w:gridCol w:w="237"/>
        <w:gridCol w:w="237"/>
        <w:gridCol w:w="337"/>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FICO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LTV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Vintage</w:t>
            </w:r>
          </w:p>
        </w:tc>
      </w:tr>
    </w:tbl>
    <w:p>
      <w:pPr>
        <w:pStyle w:val="TextBody"/>
        <w:bidi w:val="0"/>
        <w:spacing w:before="160" w:after="160"/>
        <w:jc w:val="left"/>
        <w:rPr/>
      </w:pPr>
      <w:r>
        <w:rPr/>
        <w:drawing>
          <wp:inline distT="0" distB="0" distL="0" distR="0">
            <wp:extent cx="2000250" cy="2371725"/>
            <wp:effectExtent l="0" t="0" r="0" b="0"/>
            <wp:docPr id="6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9" descr=""/>
                    <pic:cNvPicPr>
                      <a:picLocks noChangeAspect="1" noChangeArrowheads="1"/>
                    </pic:cNvPicPr>
                  </pic:nvPicPr>
                  <pic:blipFill>
                    <a:blip r:embed="rId10"/>
                    <a:stretch>
                      <a:fillRect/>
                    </a:stretch>
                  </pic:blipFill>
                  <pic:spPr bwMode="auto">
                    <a:xfrm>
                      <a:off x="0" y="0"/>
                      <a:ext cx="2000250" cy="2371725"/>
                    </a:xfrm>
                    <a:prstGeom prst="rect">
                      <a:avLst/>
                    </a:prstGeom>
                  </pic:spPr>
                </pic:pic>
              </a:graphicData>
            </a:graphic>
          </wp:inline>
        </w:drawing>
      </w:r>
      <w:bookmarkStart w:id="8" w:name="i-9"/>
      <w:bookmarkEnd w:id="8"/>
      <w:r>
        <w:rPr/>
        <w:drawing>
          <wp:inline distT="0" distB="0" distL="0" distR="0">
            <wp:extent cx="2286000" cy="2371725"/>
            <wp:effectExtent l="0" t="0" r="0" b="0"/>
            <wp:docPr id="6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0" descr=""/>
                    <pic:cNvPicPr>
                      <a:picLocks noChangeAspect="1" noChangeArrowheads="1"/>
                    </pic:cNvPicPr>
                  </pic:nvPicPr>
                  <pic:blipFill>
                    <a:blip r:embed="rId11"/>
                    <a:stretch>
                      <a:fillRect/>
                    </a:stretch>
                  </pic:blipFill>
                  <pic:spPr bwMode="auto">
                    <a:xfrm>
                      <a:off x="0" y="0"/>
                      <a:ext cx="2286000" cy="2371725"/>
                    </a:xfrm>
                    <a:prstGeom prst="rect">
                      <a:avLst/>
                    </a:prstGeom>
                  </pic:spPr>
                </pic:pic>
              </a:graphicData>
            </a:graphic>
          </wp:inline>
        </w:drawing>
      </w:r>
      <w:bookmarkStart w:id="9" w:name="i-10"/>
      <w:bookmarkEnd w:id="9"/>
      <w:r>
        <w:rPr/>
        <w:drawing>
          <wp:inline distT="0" distB="0" distL="0" distR="0">
            <wp:extent cx="2190750" cy="2371725"/>
            <wp:effectExtent l="0" t="0" r="0" b="0"/>
            <wp:docPr id="6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1" descr=""/>
                    <pic:cNvPicPr>
                      <a:picLocks noChangeAspect="1" noChangeArrowheads="1"/>
                    </pic:cNvPicPr>
                  </pic:nvPicPr>
                  <pic:blipFill>
                    <a:blip r:embed="rId12"/>
                    <a:stretch>
                      <a:fillRect/>
                    </a:stretch>
                  </pic:blipFill>
                  <pic:spPr bwMode="auto">
                    <a:xfrm>
                      <a:off x="0" y="0"/>
                      <a:ext cx="2190750" cy="2371725"/>
                    </a:xfrm>
                    <a:prstGeom prst="rect">
                      <a:avLst/>
                    </a:prstGeom>
                  </pic:spPr>
                </pic:pic>
              </a:graphicData>
            </a:graphic>
          </wp:inline>
        </w:drawing>
      </w:r>
      <w:bookmarkStart w:id="10" w:name="i-11"/>
      <w:bookmarkEnd w:id="10"/>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graph presents delinquency trends for residential loans, excluding government insured residential loans, over the periods indicated (in millions):</w:t>
      </w:r>
    </w:p>
    <w:tbl>
      <w:tblPr>
        <w:tblW w:w="2325" w:type="dxa"/>
        <w:jc w:val="left"/>
        <w:tblInd w:w="0" w:type="dxa"/>
        <w:tblLayout w:type="fixed"/>
        <w:tblCellMar>
          <w:top w:w="28" w:type="dxa"/>
          <w:left w:w="28" w:type="dxa"/>
          <w:bottom w:w="28" w:type="dxa"/>
          <w:right w:w="28" w:type="dxa"/>
        </w:tblCellMar>
      </w:tblPr>
      <w:tblGrid>
        <w:gridCol w:w="745"/>
        <w:gridCol w:w="654"/>
        <w:gridCol w:w="926"/>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1ABE6"/>
                <w:sz w:val="20"/>
              </w:rPr>
            </w:pPr>
            <w:r>
              <w:rPr>
                <w:rFonts w:ascii="Times New Roman;serif" w:hAnsi="Times New Roman;serif"/>
                <w:b/>
                <w:color w:val="01ABE6"/>
                <w:sz w:val="20"/>
              </w:rPr>
              <w:t>Residential Delinquencies</w:t>
            </w:r>
          </w:p>
        </w:tc>
      </w:tr>
    </w:tbl>
    <w:p>
      <w:pPr>
        <w:pStyle w:val="TextBody"/>
        <w:bidi w:val="0"/>
        <w:spacing w:before="160" w:after="160"/>
        <w:ind w:left="0" w:right="0" w:firstLine="360"/>
        <w:jc w:val="left"/>
        <w:rPr/>
      </w:pPr>
      <w:r>
        <w:rPr/>
        <w:drawing>
          <wp:inline distT="0" distB="0" distL="0" distR="0">
            <wp:extent cx="5295900" cy="1914525"/>
            <wp:effectExtent l="0" t="0" r="0" b="0"/>
            <wp:docPr id="6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2" descr=""/>
                    <pic:cNvPicPr>
                      <a:picLocks noChangeAspect="1" noChangeArrowheads="1"/>
                    </pic:cNvPicPr>
                  </pic:nvPicPr>
                  <pic:blipFill>
                    <a:blip r:embed="rId13"/>
                    <a:stretch>
                      <a:fillRect/>
                    </a:stretch>
                  </pic:blipFill>
                  <pic:spPr bwMode="auto">
                    <a:xfrm>
                      <a:off x="0" y="0"/>
                      <a:ext cx="5295900" cy="1914525"/>
                    </a:xfrm>
                    <a:prstGeom prst="rect">
                      <a:avLst/>
                    </a:prstGeom>
                  </pic:spPr>
                </pic:pic>
              </a:graphicData>
            </a:graphic>
          </wp:inline>
        </w:drawing>
      </w:r>
      <w:bookmarkStart w:id="11" w:name="i-12"/>
      <w:bookmarkEnd w:id="11"/>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FICO scores are generally updated semi-annually and were most recently updated in the first quarter of 2026. LTVs are typically based on valuation at origination.</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Note 4 to the consolidated financial statements presents additional information about key credit quality indicators and delinquency status of the loan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48285"/>
                <wp:effectExtent l="0" t="0" r="0" b="0"/>
                <wp:wrapNone/>
                <wp:docPr id="68" name="Frame5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Non-Performing Assets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Non-performing assets consist of (i) non-accrual loans, (ii) accruing loans that are more than 90 days contractually past due as to interest or principal, excluding PCD loans for which management has a reasonable basis for an expectation about future cash flows and government insured residential loans, and (iii) OREO and other non-performing assets.</w:t>
      </w:r>
    </w:p>
    <w:p>
      <w:pPr>
        <w:pStyle w:val="TextBody"/>
        <w:bidi w:val="0"/>
        <w:spacing w:lineRule="auto" w:line="288" w:before="16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non-performing loans and non-performing assets at the dates indicated (dollars in thousands):</w:t>
      </w:r>
    </w:p>
    <w:tbl>
      <w:tblPr>
        <w:tblW w:w="10205" w:type="dxa"/>
        <w:jc w:val="left"/>
        <w:tblInd w:w="0" w:type="dxa"/>
        <w:tblLayout w:type="fixed"/>
        <w:tblCellMar>
          <w:top w:w="28" w:type="dxa"/>
          <w:left w:w="28" w:type="dxa"/>
          <w:bottom w:w="28" w:type="dxa"/>
          <w:right w:w="28" w:type="dxa"/>
        </w:tblCellMar>
      </w:tblPr>
      <w:tblGrid>
        <w:gridCol w:w="2144"/>
        <w:gridCol w:w="1792"/>
        <w:gridCol w:w="1796"/>
        <w:gridCol w:w="393"/>
        <w:gridCol w:w="239"/>
        <w:gridCol w:w="542"/>
        <w:gridCol w:w="109"/>
        <w:gridCol w:w="109"/>
        <w:gridCol w:w="109"/>
        <w:gridCol w:w="426"/>
        <w:gridCol w:w="232"/>
        <w:gridCol w:w="567"/>
        <w:gridCol w:w="109"/>
        <w:gridCol w:w="109"/>
        <w:gridCol w:w="109"/>
        <w:gridCol w:w="455"/>
        <w:gridCol w:w="264"/>
        <w:gridCol w:w="701"/>
      </w:tblGrid>
      <w:tr>
        <w:trPr/>
        <w:tc>
          <w:tcPr>
            <w:tcW w:w="2144"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5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w:t>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 commercial real estate</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67,348</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29,662</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 commercial real estate</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187,068</w:t>
            </w:r>
          </w:p>
        </w:tc>
      </w:tr>
      <w:tr>
        <w:trPr/>
        <w:tc>
          <w:tcPr>
            <w:tcW w:w="5732"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Franchise and equipment finance</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Guaranteed portion of SBA</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37,926</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Non-guaranteed portion of SBA</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loans</w:t>
            </w:r>
          </w:p>
        </w:tc>
        <w:tc>
          <w:tcPr>
            <w:tcW w:w="1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349,742</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22,876</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non-accrual loans</w:t>
            </w:r>
          </w:p>
        </w:tc>
        <w:tc>
          <w:tcPr>
            <w:tcW w:w="1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372,618</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past due 90 days and still accruing</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loans</w:t>
            </w:r>
          </w:p>
        </w:tc>
        <w:tc>
          <w:tcPr>
            <w:tcW w:w="1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372,618</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OREO and other non-performing assets</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assets</w:t>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377,447</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Non-performing loans to total loans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Non-performing loans, excluding the guaranteed portion of non-accrual SBA loans, to total loans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Non-performing assets to total assets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Non-performing assets, excluding the guaranteed portion of non-accrual SBA loans, to total assets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ACL to total loans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Commercial ACL to commercial loans </w:t>
            </w:r>
            <w:r>
              <w:rPr>
                <w:rFonts w:ascii="Times New Roman;serif" w:hAnsi="Times New Roman;serif"/>
                <w:b w:val="false"/>
                <w:color w:val="000000"/>
                <w:sz w:val="12"/>
              </w:rPr>
              <w:t>(1)</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ACL to non-performing loans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97.14 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75.90 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charge-offs to average loans </w:t>
            </w:r>
            <w:r>
              <w:rPr>
                <w:rFonts w:ascii="Times New Roman;serif" w:hAnsi="Times New Roman;serif"/>
                <w:b w:val="false"/>
                <w:color w:val="000000"/>
                <w:sz w:val="12"/>
              </w:rPr>
              <w:t>(2)</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charge-offs to average loans, trailing twelve months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For purposes of this ratio, commercial loans includes the C&amp;I and CRE sub-segments, as well as franchise and equipment finance. Due to their unique risk profiles, MWL and municipal finance are excluded from this ratio.</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Annualized for the three months ended June 30, 2026, March 31, 2026, and December 31, 2025.</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Contractually delinquent government insured residential loans are typically Buyout Loans and are excluded from non-performing loans as defined in the table above due to their government guarantee. The carrying value of such loans contractually delinquent by 90 days or more was $175 million, $197 million and $159 million at June 30, 2026, March 31, 2026 and December 31, 2025, respectively.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the ACL to non-performing loans coverage ratio reflected overall lower non-performing loan balances at June 30, 2026 compared to December 31, 2025.</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charts present non-performing CRE loans by property type at the dates indicated (in millions):</w:t>
      </w:r>
    </w:p>
    <w:tbl>
      <w:tblPr>
        <w:tblW w:w="3385" w:type="dxa"/>
        <w:jc w:val="left"/>
        <w:tblInd w:w="0" w:type="dxa"/>
        <w:tblLayout w:type="fixed"/>
        <w:tblCellMar>
          <w:top w:w="28" w:type="dxa"/>
          <w:left w:w="28" w:type="dxa"/>
          <w:bottom w:w="28" w:type="dxa"/>
          <w:right w:w="28" w:type="dxa"/>
        </w:tblCellMar>
      </w:tblPr>
      <w:tblGrid>
        <w:gridCol w:w="466"/>
        <w:gridCol w:w="409"/>
        <w:gridCol w:w="414"/>
        <w:gridCol w:w="109"/>
        <w:gridCol w:w="109"/>
        <w:gridCol w:w="109"/>
        <w:gridCol w:w="517"/>
        <w:gridCol w:w="517"/>
        <w:gridCol w:w="735"/>
      </w:tblGrid>
      <w:tr>
        <w:trPr/>
        <w:tc>
          <w:tcPr>
            <w:tcW w:w="4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December 31, 2025</w:t>
            </w:r>
          </w:p>
        </w:tc>
      </w:tr>
    </w:tbl>
    <w:p>
      <w:pPr>
        <w:pStyle w:val="TextBody"/>
        <w:bidi w:val="0"/>
        <w:spacing w:lineRule="auto" w:line="288" w:before="160" w:after="160"/>
        <w:ind w:left="0" w:right="0" w:firstLine="360"/>
        <w:jc w:val="left"/>
        <w:rPr/>
      </w:pPr>
      <w:r>
        <w:rPr/>
        <w:drawing>
          <wp:inline distT="0" distB="0" distL="0" distR="0">
            <wp:extent cx="2647950" cy="2095500"/>
            <wp:effectExtent l="0" t="0" r="0" b="0"/>
            <wp:docPr id="6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3" descr=""/>
                    <pic:cNvPicPr>
                      <a:picLocks noChangeAspect="1" noChangeArrowheads="1"/>
                    </pic:cNvPicPr>
                  </pic:nvPicPr>
                  <pic:blipFill>
                    <a:blip r:embed="rId14"/>
                    <a:stretch>
                      <a:fillRect/>
                    </a:stretch>
                  </pic:blipFill>
                  <pic:spPr bwMode="auto">
                    <a:xfrm>
                      <a:off x="0" y="0"/>
                      <a:ext cx="2647950" cy="2095500"/>
                    </a:xfrm>
                    <a:prstGeom prst="rect">
                      <a:avLst/>
                    </a:prstGeom>
                  </pic:spPr>
                </pic:pic>
              </a:graphicData>
            </a:graphic>
          </wp:inline>
        </w:drawing>
      </w:r>
      <w:bookmarkStart w:id="12" w:name="i-13"/>
      <w:bookmarkEnd w:id="12"/>
      <w:r>
        <w:rPr>
          <w:color w:val="000000"/>
        </w:rPr>
        <w:t xml:space="preserve"> </w:t>
      </w:r>
      <w:r>
        <w:rPr/>
        <w:drawing>
          <wp:inline distT="0" distB="0" distL="0" distR="0">
            <wp:extent cx="3467100" cy="2095500"/>
            <wp:effectExtent l="0" t="0" r="0" b="0"/>
            <wp:docPr id="7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4" descr=""/>
                    <pic:cNvPicPr>
                      <a:picLocks noChangeAspect="1" noChangeArrowheads="1"/>
                    </pic:cNvPicPr>
                  </pic:nvPicPr>
                  <pic:blipFill>
                    <a:blip r:embed="rId15"/>
                    <a:stretch>
                      <a:fillRect/>
                    </a:stretch>
                  </pic:blipFill>
                  <pic:spPr bwMode="auto">
                    <a:xfrm>
                      <a:off x="0" y="0"/>
                      <a:ext cx="3467100" cy="2095500"/>
                    </a:xfrm>
                    <a:prstGeom prst="rect">
                      <a:avLst/>
                    </a:prstGeom>
                  </pic:spPr>
                </pic:pic>
              </a:graphicData>
            </a:graphic>
          </wp:inline>
        </w:drawing>
      </w:r>
      <w:bookmarkStart w:id="13" w:name="i-14"/>
      <w:bookmarkEnd w:id="13"/>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Commercial loans are placed on non-accrual status when (i) management has determined that full repayment of all contractual principal and interest is in doubt, or (ii) the loan is past due 90 days or more as to principal or interest unless the loan is well secured and in the process of collection. Residential loans, other than Buyout Loans, are generally placed on non-accrual status when they are 60 days past due. When a loan is placed on non-accrual status, uncollected interest accrued is reversed and charged to interest income. Commercial loans are returned to accrual status only after all past due principal and interest has been collected and full repayment of remaining contractual principal and interest is reasonably assured. Residential loans are generally returned to accrual status when less than 60 days past due. Past due status of loans is determined based on the contractual next payment due date. Loans less than 30 days past due are reported as current.</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Loss Mitigation Strategies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Criticized or classified commercial loans in excess of certain thresholds are reviewed quarterly by the Criticized Asset Committee, which evaluates the appropriate strategy for collection to mitigate the amount of credit losses and considers the appropriate risk rating for these loans. Criticized asset reports for each relationship are presented by the assigned relationship manager and credit officer to the Criticized Asset Committee until such time as the relationships are returned to a satisfactory credit risk rating or otherwise resolved. The Criticized Asset Committee may require the transfer of a loan to our workout and recovery department, which is tasked to effectively manage the loan with the goal of minimizing losses and expenses associated with restructure, collection and/or liquidation of collateral. Commercial loans with a risk rating of substandard, loans on non-accrual status, and assets classified as OREO or repossessed assets are usually transferred to workout and recovery. Oversight of the workout and recovery department is provided by the Criticized Asset Committee.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servicers evaluate each residential loan in default to determine the most effective loss mitigation strategy, which may be modification, short sale, or foreclosure, and pursue the alternative most suitable to the consumer and to mitigate losses to the Bank.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Analysis of the Allowance for Credit Losses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ACL is management's estimate of the amount of expected credit losses over the life of the loan portfolio, or the amount of amortized cost basis not expected to be collected, at the balance sheet date. This estimate encompasses information about historical events, current conditions and reasonable and supportable economic forecasts. Determining the amount of the ACL is complex and requires extensive judgment by management about matters that are inherently uncertain. Given the complexity of the ACL estimate, the level of management judgment required and inherent uncertainty with respect to future developments in the external environment, it is possible that the ACL estimate could change, potentially materially, in future periods. Changes in the ACL may result from changes in current economic conditions, including but not limited to unanticipated changes in interest rates or inflationary pressures, changes in our economic forecast, loan portfolio composition, commercial and residential real estate market dynamics and other circumstances not currently known to us that may impact the financial condition and operations of our borrowers, among other factors.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Expected credit losses are estimated on a collective basis for groups of loans that share similar risk characteristics. For loans that do not share similar risk characteristics with other loans such as collateral dependent loans, expected credit losses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48285"/>
                <wp:effectExtent l="0" t="0" r="0" b="0"/>
                <wp:wrapNone/>
                <wp:docPr id="71" name="Frame5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estimated on an individual basis. Expected credit losses are estimated over the contractual terms of the loans, adjusted for expected prepayments, generally excluding expected extensions, renewals, and modifications.</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substantial majority of portfolio segments and subsegments, including residential loans other than government insured loans and most commercial and commercial real estate loans, expected losses are estimated using econometric models. </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single economic scenario or a probability weighted blend of economic scenarios may be used. The models ingest numerous national, regional and MSA level variables and data points. At June 30, 2026 and December 31, 2025, we used a combination of weighted third-party provided economic scenarios in calculating the quantitative portion of the ACL. Each of these externally provided scenarios in fact represents the result of a probability weighting of thousands of individual scenario paths.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1 to the consolidated financial statements of the Company's 2025 Annual Report on Form 10-K for more detailed information about our ACL methodology and related accounting policies.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an analysis of the ACL, the provision for credit losses related to the funded portion of loans and net charge-offs by loan segment for the periods indicated (dollars in thousands):</w:t>
      </w:r>
    </w:p>
    <w:tbl>
      <w:tblPr>
        <w:tblW w:w="10205" w:type="dxa"/>
        <w:jc w:val="left"/>
        <w:tblInd w:w="0" w:type="dxa"/>
        <w:tblLayout w:type="fixed"/>
        <w:tblCellMar>
          <w:top w:w="28" w:type="dxa"/>
          <w:left w:w="28" w:type="dxa"/>
          <w:bottom w:w="28" w:type="dxa"/>
          <w:right w:w="28" w:type="dxa"/>
        </w:tblCellMar>
      </w:tblPr>
      <w:tblGrid>
        <w:gridCol w:w="398"/>
        <w:gridCol w:w="350"/>
        <w:gridCol w:w="351"/>
        <w:gridCol w:w="109"/>
        <w:gridCol w:w="109"/>
        <w:gridCol w:w="109"/>
        <w:gridCol w:w="196"/>
        <w:gridCol w:w="646"/>
        <w:gridCol w:w="241"/>
        <w:gridCol w:w="109"/>
        <w:gridCol w:w="109"/>
        <w:gridCol w:w="109"/>
        <w:gridCol w:w="196"/>
        <w:gridCol w:w="736"/>
        <w:gridCol w:w="241"/>
        <w:gridCol w:w="109"/>
        <w:gridCol w:w="109"/>
        <w:gridCol w:w="109"/>
        <w:gridCol w:w="212"/>
        <w:gridCol w:w="457"/>
        <w:gridCol w:w="263"/>
        <w:gridCol w:w="109"/>
        <w:gridCol w:w="109"/>
        <w:gridCol w:w="109"/>
        <w:gridCol w:w="196"/>
        <w:gridCol w:w="558"/>
        <w:gridCol w:w="241"/>
        <w:gridCol w:w="109"/>
        <w:gridCol w:w="109"/>
        <w:gridCol w:w="109"/>
        <w:gridCol w:w="196"/>
        <w:gridCol w:w="646"/>
        <w:gridCol w:w="241"/>
        <w:gridCol w:w="109"/>
        <w:gridCol w:w="109"/>
        <w:gridCol w:w="109"/>
        <w:gridCol w:w="196"/>
        <w:gridCol w:w="736"/>
        <w:gridCol w:w="241"/>
        <w:gridCol w:w="109"/>
        <w:gridCol w:w="109"/>
        <w:gridCol w:w="109"/>
        <w:gridCol w:w="109"/>
        <w:gridCol w:w="109"/>
        <w:gridCol w:w="160"/>
      </w:tblGrid>
      <w:tr>
        <w:trPr/>
        <w:tc>
          <w:tcPr>
            <w:tcW w:w="3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Pinnacle - Municipal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Franchise and Equipment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Residential and MWL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70,458 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223,153 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(37,016)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148,998 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219,825 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(39,990)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(47,186)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58,571 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145,605 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217,516 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Charge-offs to Average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distribution of the ACL at the dates indicated (dollars in thousands):</w:t>
      </w:r>
    </w:p>
    <w:tbl>
      <w:tblPr>
        <w:tblW w:w="10120" w:type="dxa"/>
        <w:jc w:val="left"/>
        <w:tblInd w:w="0" w:type="dxa"/>
        <w:tblLayout w:type="fixed"/>
        <w:tblCellMar>
          <w:top w:w="28" w:type="dxa"/>
          <w:left w:w="28" w:type="dxa"/>
          <w:bottom w:w="28" w:type="dxa"/>
          <w:right w:w="28" w:type="dxa"/>
        </w:tblCellMar>
      </w:tblPr>
      <w:tblGrid>
        <w:gridCol w:w="881"/>
        <w:gridCol w:w="774"/>
        <w:gridCol w:w="790"/>
        <w:gridCol w:w="196"/>
        <w:gridCol w:w="736"/>
        <w:gridCol w:w="109"/>
        <w:gridCol w:w="109"/>
        <w:gridCol w:w="109"/>
        <w:gridCol w:w="109"/>
        <w:gridCol w:w="278"/>
        <w:gridCol w:w="278"/>
        <w:gridCol w:w="256"/>
        <w:gridCol w:w="109"/>
        <w:gridCol w:w="109"/>
        <w:gridCol w:w="109"/>
        <w:gridCol w:w="196"/>
        <w:gridCol w:w="736"/>
        <w:gridCol w:w="109"/>
        <w:gridCol w:w="109"/>
        <w:gridCol w:w="109"/>
        <w:gridCol w:w="109"/>
        <w:gridCol w:w="278"/>
        <w:gridCol w:w="278"/>
        <w:gridCol w:w="256"/>
        <w:gridCol w:w="109"/>
        <w:gridCol w:w="109"/>
        <w:gridCol w:w="109"/>
        <w:gridCol w:w="196"/>
        <w:gridCol w:w="736"/>
        <w:gridCol w:w="109"/>
        <w:gridCol w:w="109"/>
        <w:gridCol w:w="109"/>
        <w:gridCol w:w="109"/>
        <w:gridCol w:w="278"/>
        <w:gridCol w:w="278"/>
        <w:gridCol w:w="256"/>
        <w:gridCol w:w="109"/>
        <w:gridCol w:w="109"/>
        <w:gridCol w:w="109"/>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CRE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C&amp;I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Pinnacle - municipal finance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Franchise and equipment finance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Residential and MWL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219,825 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percentage of loans receivable in each category to total loans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48285"/>
                <wp:effectExtent l="0" t="0" r="0" b="0"/>
                <wp:wrapNone/>
                <wp:docPr id="72" name="Frame5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ACL as a percentage of loans at the dates indicated, by portfolio sub-segment:</w:t>
      </w:r>
    </w:p>
    <w:tbl>
      <w:tblPr>
        <w:tblW w:w="8105" w:type="dxa"/>
        <w:jc w:val="left"/>
        <w:tblInd w:w="0" w:type="dxa"/>
        <w:tblLayout w:type="fixed"/>
        <w:tblCellMar>
          <w:top w:w="28" w:type="dxa"/>
          <w:left w:w="28" w:type="dxa"/>
          <w:bottom w:w="28" w:type="dxa"/>
          <w:right w:w="28" w:type="dxa"/>
        </w:tblCellMar>
      </w:tblPr>
      <w:tblGrid>
        <w:gridCol w:w="1014"/>
        <w:gridCol w:w="894"/>
        <w:gridCol w:w="896"/>
        <w:gridCol w:w="307"/>
        <w:gridCol w:w="309"/>
        <w:gridCol w:w="624"/>
        <w:gridCol w:w="109"/>
        <w:gridCol w:w="109"/>
        <w:gridCol w:w="109"/>
        <w:gridCol w:w="336"/>
        <w:gridCol w:w="280"/>
        <w:gridCol w:w="701"/>
        <w:gridCol w:w="109"/>
        <w:gridCol w:w="109"/>
        <w:gridCol w:w="109"/>
        <w:gridCol w:w="109"/>
        <w:gridCol w:w="109"/>
        <w:gridCol w:w="334"/>
        <w:gridCol w:w="334"/>
        <w:gridCol w:w="832"/>
        <w:gridCol w:w="109"/>
        <w:gridCol w:w="109"/>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Franchise and equipment finance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commercial </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Pinnacle - municipal finance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Residential and MWL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ACL to non-performing loans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97.14 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75.90 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ACL to CRE office loans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the ACL during the three months ended June 30, 2026, are depicted in the chart below (dollars in millions):</w:t>
      </w:r>
    </w:p>
    <w:p>
      <w:pPr>
        <w:pStyle w:val="TextBody"/>
        <w:bidi w:val="0"/>
        <w:spacing w:before="160" w:after="160"/>
        <w:ind w:left="0" w:right="0" w:firstLine="360"/>
        <w:jc w:val="left"/>
        <w:rPr/>
      </w:pPr>
      <w:r>
        <w:rPr/>
        <w:drawing>
          <wp:inline distT="0" distB="0" distL="0" distR="0">
            <wp:extent cx="6286500" cy="3105150"/>
            <wp:effectExtent l="0" t="0" r="0" b="0"/>
            <wp:docPr id="7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5" descr=""/>
                    <pic:cNvPicPr>
                      <a:picLocks noChangeAspect="1" noChangeArrowheads="1"/>
                    </pic:cNvPicPr>
                  </pic:nvPicPr>
                  <pic:blipFill>
                    <a:blip r:embed="rId16"/>
                    <a:stretch>
                      <a:fillRect/>
                    </a:stretch>
                  </pic:blipFill>
                  <pic:spPr bwMode="auto">
                    <a:xfrm>
                      <a:off x="0" y="0"/>
                      <a:ext cx="6286500" cy="3105150"/>
                    </a:xfrm>
                    <a:prstGeom prst="rect">
                      <a:avLst/>
                    </a:prstGeom>
                  </pic:spPr>
                </pic:pic>
              </a:graphicData>
            </a:graphic>
          </wp:inline>
        </w:drawing>
      </w:r>
      <w:bookmarkStart w:id="14" w:name="i-15"/>
      <w:bookmarkEnd w:id="14"/>
    </w:p>
    <w:p>
      <w:pPr>
        <w:pStyle w:val="TextBody"/>
        <w:bidi w:val="0"/>
        <w:spacing w:lineRule="auto" w:line="288" w:before="240" w:after="160"/>
        <w:jc w:val="left"/>
        <w:rPr>
          <w:rFonts w:ascii="Times New Roman;serif" w:hAnsi="Times New Roman;serif"/>
          <w:b w:val="false"/>
          <w:i/>
          <w:color w:val="000000"/>
          <w:sz w:val="20"/>
        </w:rPr>
      </w:pPr>
      <w:r>
        <w:rPr>
          <w:rFonts w:ascii="Times New Roman;serif" w:hAnsi="Times New Roman;serif"/>
          <w:b w:val="false"/>
          <w:i/>
          <w:color w:val="000000"/>
          <w:sz w:val="20"/>
        </w:rPr>
        <w:t>Changes in the ACL during the three months ended June 30, 2026</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depicted in the chart above, the most significant factors impacting the ACL for the three months ended June 30, 2026, were increases in specific reserves and impact of the changes in the economic forecast, partially offset by net charge-offs and changes in the portfolio composition and borrower financial performance. The ACL was also impacted, although to a lesser extent, by risk rating migration and a decrease in certain qualitative factors.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June 30, 2026, the ratio of the ACL to loans was 0.91%, compared to 0.87% at March 31, 2026. The commercial ACL ratio, inclusive of C&amp;I, CRE, and franchise and equipment finance was 1.30% at June 30, 2026 compared to 1.25% at March 31, 2026. The ACL to loans ratio for CRE office loans was 1.98% at June 30, 2026 compared to 1.69% at March 31, 2026. Further discussion of changes in the ACL for select portfolio sub-segments follows: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ACL for the CRE portfolio sub-segment increased by $2.9 million during the three months ended June 30, 2026, from 0.81% to 0.84% of loans, primarily a result of changes in the economic forecast and increases in specific reserves, partially offset by net charge-offs.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ACL for the commercial and industrial sub-segment increased by $3.7 million during the three months ended June 30, 2026, from 1.60% to 1.68% of loans, primarily a result of increases in specific reserves, partially offset by net charge-offs and improvements in borrower financials.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48285"/>
                <wp:effectExtent l="0" t="0" r="0" b="0"/>
                <wp:wrapNone/>
                <wp:docPr id="74" name="Frame5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The ACL for the residential and MWL segments increased by $2.1 million during the three months ended June 30, 2026, from 0.14% to 0.17% of loans, primarily a result of changes in the portfolio composition.</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quantitative estimate of the ACL at June 30, 2026, was informed by forecasted economic scenarios published in June 2026, a wide variety of additional economic data, information about borrower financial condition and collateral values, and other relevant information. The quantitative portion of the ACL at June 30, 2026, was modeled using a weighting of baseline, downside and upside third-party economic scenarios, with the highest weighting ascribed to the baseline scenario and lower weightings ascribed to the downside and upside scenarios.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the high-level data points informing the baseline scenario used in estimating the quantitative portion of the ACL at June 30, 2026, included:</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Labor market assumptions, which reflected national unemployment peaking at 4.6% and</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Annualized growth in national GDP averaging 2.1%.</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above unemployment and GDP growth assumptions are provided to give a high level overview of the nature and severity of the baseline economic forecast scenario used in estimating the ACL. Numerous additional variables and assumptions not explicitly stated, including but not limited to detailed commercial and residential property forecasts, projected stock market performance and volatility indices and a variety of additional assumptions about market interest rates and spreads also contributed to the overall impact economic conditions and the economic forecast had on the ACL estimate. Furthermore, while the variables presented above are at the national level, many of the economic variables are regionalized at the market and submarket level in the models.</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about the ACL, see Note 4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Deposits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composition of deposits at the dates indicated is shown below: </w:t>
      </w:r>
    </w:p>
    <w:tbl>
      <w:tblPr>
        <w:tblW w:w="3385" w:type="dxa"/>
        <w:jc w:val="left"/>
        <w:tblInd w:w="0" w:type="dxa"/>
        <w:tblLayout w:type="fixed"/>
        <w:tblCellMar>
          <w:top w:w="28" w:type="dxa"/>
          <w:left w:w="28" w:type="dxa"/>
          <w:bottom w:w="28" w:type="dxa"/>
          <w:right w:w="28" w:type="dxa"/>
        </w:tblCellMar>
      </w:tblPr>
      <w:tblGrid>
        <w:gridCol w:w="466"/>
        <w:gridCol w:w="409"/>
        <w:gridCol w:w="414"/>
        <w:gridCol w:w="109"/>
        <w:gridCol w:w="109"/>
        <w:gridCol w:w="109"/>
        <w:gridCol w:w="517"/>
        <w:gridCol w:w="517"/>
        <w:gridCol w:w="735"/>
      </w:tblGrid>
      <w:tr>
        <w:trPr/>
        <w:tc>
          <w:tcPr>
            <w:tcW w:w="4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88" w:before="240" w:after="160"/>
              <w:jc w:val="center"/>
              <w:rPr>
                <w:rFonts w:ascii="Times New Roman;serif" w:hAnsi="Times New Roman;serif"/>
                <w:b/>
                <w:color w:val="01ABE6"/>
                <w:sz w:val="20"/>
              </w:rPr>
            </w:pPr>
            <w:r>
              <w:rPr>
                <w:rFonts w:ascii="Times New Roman;serif" w:hAnsi="Times New Roman;serif"/>
                <w:b/>
                <w:color w:val="01ABE6"/>
                <w:sz w:val="20"/>
              </w:rPr>
              <w:t>December 31, 2025</w:t>
            </w:r>
          </w:p>
        </w:tc>
      </w:tr>
    </w:tbl>
    <w:p>
      <w:pPr>
        <w:pStyle w:val="TextBody"/>
        <w:bidi w:val="0"/>
        <w:spacing w:lineRule="auto" w:line="288" w:before="160" w:after="160"/>
        <w:jc w:val="left"/>
        <w:rPr/>
      </w:pPr>
      <w:r>
        <w:rPr/>
        <w:drawing>
          <wp:inline distT="0" distB="0" distL="0" distR="0">
            <wp:extent cx="2371725" cy="1828800"/>
            <wp:effectExtent l="0" t="0" r="0" b="0"/>
            <wp:docPr id="7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6" descr=""/>
                    <pic:cNvPicPr>
                      <a:picLocks noChangeAspect="1" noChangeArrowheads="1"/>
                    </pic:cNvPicPr>
                  </pic:nvPicPr>
                  <pic:blipFill>
                    <a:blip r:embed="rId17"/>
                    <a:stretch>
                      <a:fillRect/>
                    </a:stretch>
                  </pic:blipFill>
                  <pic:spPr bwMode="auto">
                    <a:xfrm>
                      <a:off x="0" y="0"/>
                      <a:ext cx="2371725" cy="1828800"/>
                    </a:xfrm>
                    <a:prstGeom prst="rect">
                      <a:avLst/>
                    </a:prstGeom>
                  </pic:spPr>
                </pic:pic>
              </a:graphicData>
            </a:graphic>
          </wp:inline>
        </w:drawing>
      </w:r>
      <w:bookmarkStart w:id="15" w:name="i-16"/>
      <w:bookmarkEnd w:id="15"/>
      <w:r>
        <w:rPr>
          <w:color w:val="000000"/>
        </w:rPr>
        <w:t xml:space="preserve"> </w:t>
      </w:r>
      <w:r>
        <w:rPr/>
        <w:drawing>
          <wp:inline distT="0" distB="0" distL="0" distR="0">
            <wp:extent cx="3838575" cy="1828800"/>
            <wp:effectExtent l="0" t="0" r="0" b="0"/>
            <wp:docPr id="7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7" descr=""/>
                    <pic:cNvPicPr>
                      <a:picLocks noChangeAspect="1" noChangeArrowheads="1"/>
                    </pic:cNvPicPr>
                  </pic:nvPicPr>
                  <pic:blipFill>
                    <a:blip r:embed="rId18"/>
                    <a:stretch>
                      <a:fillRect/>
                    </a:stretch>
                  </pic:blipFill>
                  <pic:spPr bwMode="auto">
                    <a:xfrm>
                      <a:off x="0" y="0"/>
                      <a:ext cx="3838575" cy="1828800"/>
                    </a:xfrm>
                    <a:prstGeom prst="rect">
                      <a:avLst/>
                    </a:prstGeom>
                  </pic:spPr>
                </pic:pic>
              </a:graphicData>
            </a:graphic>
          </wp:inline>
        </w:drawing>
      </w:r>
      <w:bookmarkStart w:id="16" w:name="i-17"/>
      <w:bookmarkEnd w:id="16"/>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diverse deposit book. At June 30, 2026, our largest industry vertical was title insurance with approximately $4.9 billion in total deposits. Deposits in the HOA vertical totaled $2.4 billion at June 30, 2026. Approximately 75% of our deposits were commercial or municipal deposits at June 30, 2026.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Brokered deposits totaled $3.0 billion and $4.9 billion at June 30, 2026 and December 31, 2025, respectively. Brokered deposits are generally insured and typically a readily available source of funds, however, they are typically higher cost and in some circumstances, credit sensitive. We are strategically focused on reducing the level of brokered deposits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48285"/>
                <wp:effectExtent l="0" t="0" r="0" b="0"/>
                <wp:wrapNone/>
                <wp:docPr id="77" name="Frame6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graph presents trends in the deposit mix and cost of deposits (in millions):</w:t>
      </w:r>
    </w:p>
    <w:p>
      <w:pPr>
        <w:pStyle w:val="TextBody"/>
        <w:bidi w:val="0"/>
        <w:spacing w:before="260" w:after="283"/>
        <w:jc w:val="left"/>
        <w:rPr/>
      </w:pPr>
      <w:r>
        <w:rPr/>
        <w:drawing>
          <wp:inline distT="0" distB="0" distL="0" distR="0">
            <wp:extent cx="6486525" cy="2286000"/>
            <wp:effectExtent l="0" t="0" r="0" b="0"/>
            <wp:docPr id="7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8" descr=""/>
                    <pic:cNvPicPr>
                      <a:picLocks noChangeAspect="1" noChangeArrowheads="1"/>
                    </pic:cNvPicPr>
                  </pic:nvPicPr>
                  <pic:blipFill>
                    <a:blip r:embed="rId19"/>
                    <a:stretch>
                      <a:fillRect/>
                    </a:stretch>
                  </pic:blipFill>
                  <pic:spPr bwMode="auto">
                    <a:xfrm>
                      <a:off x="0" y="0"/>
                      <a:ext cx="6486525" cy="2286000"/>
                    </a:xfrm>
                    <a:prstGeom prst="rect">
                      <a:avLst/>
                    </a:prstGeom>
                  </pic:spPr>
                </pic:pic>
              </a:graphicData>
            </a:graphic>
          </wp:inline>
        </w:drawing>
      </w:r>
      <w:bookmarkStart w:id="17" w:name="i-18"/>
      <w:bookmarkEnd w:id="17"/>
    </w:p>
    <w:tbl>
      <w:tblPr>
        <w:tblW w:w="5840" w:type="dxa"/>
        <w:jc w:val="left"/>
        <w:tblInd w:w="0" w:type="dxa"/>
        <w:tblLayout w:type="fixed"/>
        <w:tblCellMar>
          <w:top w:w="28" w:type="dxa"/>
          <w:left w:w="28" w:type="dxa"/>
          <w:bottom w:w="28" w:type="dxa"/>
          <w:right w:w="28" w:type="dxa"/>
        </w:tblCellMar>
      </w:tblPr>
      <w:tblGrid>
        <w:gridCol w:w="1337"/>
        <w:gridCol w:w="1174"/>
        <w:gridCol w:w="1178"/>
        <w:gridCol w:w="109"/>
        <w:gridCol w:w="109"/>
        <w:gridCol w:w="209"/>
        <w:gridCol w:w="209"/>
        <w:gridCol w:w="211"/>
        <w:gridCol w:w="209"/>
        <w:gridCol w:w="209"/>
        <w:gridCol w:w="211"/>
        <w:gridCol w:w="197"/>
        <w:gridCol w:w="197"/>
        <w:gridCol w:w="281"/>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Quarterly average cost of deposits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2.05%</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w:t>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2.18%</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Non-interest bearing as a % of total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34.4%</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30.5%</w:t>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28.8%</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Spot average APY of total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1.92%</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w:t>
            </w:r>
          </w:p>
        </w:tc>
      </w:tr>
    </w:tbl>
    <w:p>
      <w:pPr>
        <w:pStyle w:val="TextBody"/>
        <w:bidi w:val="0"/>
        <w:spacing w:lineRule="auto" w:line="288" w:before="26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Non-interest bearing demand deposits increased by 11%, or $991 million during the three months ended June 30, 2026 and increased by $825 million, 9%, during the six months ended June 30, 2026. Total deposits decreased by $479 million during the three months ended June 30, 2026 and decreased by $472 million during the six months ended June 30, 2026, while non-brokered deposits increased by $1.1 billion during the three months ended June 30, 2026 and increased by $1.4 billion during the six months ended June 30, 2026.</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about Deposits, see Note 10 to the consolidated financial statements.</w:t>
      </w:r>
    </w:p>
    <w:p>
      <w:pPr>
        <w:pStyle w:val="TextBody"/>
        <w:bidi w:val="0"/>
        <w:spacing w:lineRule="auto" w:line="288" w:before="26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Borrowings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deposits, we utilize FHLB advances as a funding source; the advances provide us with additional flexibility in managing both term and cost of funding and in managing interest rate risk. FHLB advances are secured by qualifying residential first mortgage and commercial real estate loans and MBS. The following table presents information about the contractual balance and maturities of outstanding FHLB advances, as of June 30, 2026 (dollars in thousands):</w:t>
      </w:r>
    </w:p>
    <w:tbl>
      <w:tblPr>
        <w:tblW w:w="6722" w:type="dxa"/>
        <w:jc w:val="left"/>
        <w:tblInd w:w="0" w:type="dxa"/>
        <w:tblLayout w:type="fixed"/>
        <w:tblCellMar>
          <w:top w:w="28" w:type="dxa"/>
          <w:left w:w="28" w:type="dxa"/>
          <w:bottom w:w="28" w:type="dxa"/>
          <w:right w:w="28" w:type="dxa"/>
        </w:tblCellMar>
      </w:tblPr>
      <w:tblGrid>
        <w:gridCol w:w="1163"/>
        <w:gridCol w:w="1020"/>
        <w:gridCol w:w="1026"/>
        <w:gridCol w:w="211"/>
        <w:gridCol w:w="976"/>
        <w:gridCol w:w="109"/>
        <w:gridCol w:w="109"/>
        <w:gridCol w:w="109"/>
        <w:gridCol w:w="109"/>
        <w:gridCol w:w="384"/>
        <w:gridCol w:w="384"/>
        <w:gridCol w:w="1122"/>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Rate</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 One month or less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 Over one month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balance outstanding</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above reflects contractual maturities of outstanding advances and does not incorporate the impact that interest rate swaps designated as cash flow hedges have on the duration or cost of borrowings.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48285"/>
                <wp:effectExtent l="0" t="0" r="0" b="0"/>
                <wp:wrapNone/>
                <wp:docPr id="79" name="Frame6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information about outstanding interest rate swaps hedging the variability of interest cash flows on the FHLB advances included in the table above, as of June 30, 2026 (dollars in thousands):</w:t>
      </w:r>
    </w:p>
    <w:tbl>
      <w:tblPr>
        <w:tblW w:w="6175" w:type="dxa"/>
        <w:jc w:val="left"/>
        <w:tblInd w:w="0" w:type="dxa"/>
        <w:tblLayout w:type="fixed"/>
        <w:tblCellMar>
          <w:top w:w="28" w:type="dxa"/>
          <w:left w:w="28" w:type="dxa"/>
          <w:bottom w:w="28" w:type="dxa"/>
          <w:right w:w="28" w:type="dxa"/>
        </w:tblCellMar>
      </w:tblPr>
      <w:tblGrid>
        <w:gridCol w:w="940"/>
        <w:gridCol w:w="824"/>
        <w:gridCol w:w="830"/>
        <w:gridCol w:w="251"/>
        <w:gridCol w:w="984"/>
        <w:gridCol w:w="129"/>
        <w:gridCol w:w="109"/>
        <w:gridCol w:w="109"/>
        <w:gridCol w:w="109"/>
        <w:gridCol w:w="384"/>
        <w:gridCol w:w="384"/>
        <w:gridCol w:w="1122"/>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Rate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 hedges maturing in:</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455,000 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1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6 to the consolidated financial statements and "Interest Rate Risk" below for more information about derivative instruments.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Outstanding notes payable and other borrowings consisted of the following at the dates indicated (in thousands):</w:t>
      </w:r>
    </w:p>
    <w:tbl>
      <w:tblPr>
        <w:tblW w:w="9335" w:type="dxa"/>
        <w:jc w:val="left"/>
        <w:tblInd w:w="0" w:type="dxa"/>
        <w:tblLayout w:type="fixed"/>
        <w:tblCellMar>
          <w:top w:w="28" w:type="dxa"/>
          <w:left w:w="28" w:type="dxa"/>
          <w:bottom w:w="28" w:type="dxa"/>
          <w:right w:w="28" w:type="dxa"/>
        </w:tblCellMar>
      </w:tblPr>
      <w:tblGrid>
        <w:gridCol w:w="2248"/>
        <w:gridCol w:w="1975"/>
        <w:gridCol w:w="1986"/>
        <w:gridCol w:w="211"/>
        <w:gridCol w:w="826"/>
        <w:gridCol w:w="109"/>
        <w:gridCol w:w="109"/>
        <w:gridCol w:w="109"/>
        <w:gridCol w:w="109"/>
        <w:gridCol w:w="276"/>
        <w:gridCol w:w="1081"/>
        <w:gridCol w:w="142"/>
        <w:gridCol w:w="154"/>
      </w:tblGrid>
      <w:tr>
        <w:trPr/>
        <w:tc>
          <w:tcPr>
            <w:tcW w:w="2248"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amount of 5.125% subordinated notes maturing on June 11, 2030</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296,857 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296,857 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other borrowings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319,740 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Liquidity involves our ability to generate adequate funds to support planned interest earning asset growth, meet deposit withdrawal and credit line usage requests in both normal operating and stressed environments, maintain reserve requirements, conduct routine operations, pay dividends, service outstanding debt and meet other contractual obligations.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BankUnited's ongoing liquidity needs have historically been met primarily by cash flows from operations, deposit growth, the investment portfolio, its amortizing loan portfolio and FHLB advances. FRB discount window capacity, repurchase agreement capacity and a letter of credit with the FHLB provide additional sources of contingent liquidity. </w:t>
      </w:r>
    </w:p>
    <w:p>
      <w:pPr>
        <w:pStyle w:val="TextBody"/>
        <w:bidi w:val="0"/>
        <w:spacing w:lineRule="auto" w:line="288" w:before="160" w:after="160"/>
        <w:ind w:left="0" w:right="0" w:firstLine="360"/>
        <w:jc w:val="left"/>
        <w:rPr/>
      </w:pPr>
      <w:r>
        <w:rPr>
          <w:rFonts w:ascii="Times New Roman;serif" w:hAnsi="Times New Roman;serif"/>
          <w:b w:val="false"/>
          <w:color w:val="000000"/>
          <w:sz w:val="20"/>
        </w:rPr>
        <w:t xml:space="preserve">Same day available liquidity </w:t>
      </w:r>
      <w:r>
        <w:rPr>
          <w:rFonts w:ascii="Times New Roman;serif" w:hAnsi="Times New Roman;serif"/>
          <w:b w:val="false"/>
          <w:color w:val="000000"/>
          <w:sz w:val="20"/>
          <w:shd w:fill="FFFFFF" w:val="clear"/>
        </w:rPr>
        <w:t>inc</w:t>
      </w:r>
      <w:r>
        <w:rPr>
          <w:rFonts w:ascii="Times New Roman;serif" w:hAnsi="Times New Roman;serif"/>
          <w:b w:val="false"/>
          <w:color w:val="000000"/>
          <w:sz w:val="20"/>
        </w:rPr>
        <w:t>ludes cash, secured funding such as borrowing capacity at the Federal Home Loan Bank of Atlanta and the Federal Reserve, and unpledged securities. Additional sources of liquidity include cash flows from operations, wholesale deposits, cash flow from the Bank's amortizing securities and loan portfolios, repurchase agreements and the sale of investment securities. Management also has the ability to exert substantial control over the rate and timing of loan production, and resultant requirements for liquidity to fund new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48285"/>
                <wp:effectExtent l="0" t="0" r="0" b="0"/>
                <wp:wrapNone/>
                <wp:docPr id="80" name="Frame6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chart presents the components of same day available liquidity at June 30, 2026 and December 31, 2025 (in millions):</w:t>
      </w:r>
    </w:p>
    <w:tbl>
      <w:tblPr>
        <w:tblW w:w="2729" w:type="dxa"/>
        <w:jc w:val="left"/>
        <w:tblInd w:w="0" w:type="dxa"/>
        <w:tblLayout w:type="fixed"/>
        <w:tblCellMar>
          <w:top w:w="28" w:type="dxa"/>
          <w:left w:w="28" w:type="dxa"/>
          <w:bottom w:w="28" w:type="dxa"/>
          <w:right w:w="28" w:type="dxa"/>
        </w:tblCellMar>
      </w:tblPr>
      <w:tblGrid>
        <w:gridCol w:w="873"/>
        <w:gridCol w:w="768"/>
        <w:gridCol w:w="1088"/>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1ABE6"/>
                <w:sz w:val="20"/>
              </w:rPr>
            </w:pPr>
            <w:r>
              <w:rPr>
                <w:rFonts w:ascii="Times New Roman;serif" w:hAnsi="Times New Roman;serif"/>
                <w:b/>
                <w:color w:val="01ABE6"/>
                <w:sz w:val="20"/>
              </w:rPr>
              <w:t>Same Day Available Liquidity</w:t>
            </w:r>
          </w:p>
        </w:tc>
      </w:tr>
    </w:tbl>
    <w:p>
      <w:pPr>
        <w:pStyle w:val="TextBody"/>
        <w:bidi w:val="0"/>
        <w:spacing w:lineRule="auto" w:line="288" w:before="160" w:after="160"/>
        <w:ind w:left="0" w:right="0" w:firstLine="360"/>
        <w:jc w:val="left"/>
        <w:rPr/>
      </w:pPr>
      <w:r>
        <w:rPr/>
        <w:drawing>
          <wp:inline distT="0" distB="0" distL="0" distR="0">
            <wp:extent cx="4381500" cy="2286000"/>
            <wp:effectExtent l="0" t="0" r="0" b="0"/>
            <wp:docPr id="8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9" descr=""/>
                    <pic:cNvPicPr>
                      <a:picLocks noChangeAspect="1" noChangeArrowheads="1"/>
                    </pic:cNvPicPr>
                  </pic:nvPicPr>
                  <pic:blipFill>
                    <a:blip r:embed="rId20"/>
                    <a:stretch>
                      <a:fillRect/>
                    </a:stretch>
                  </pic:blipFill>
                  <pic:spPr bwMode="auto">
                    <a:xfrm>
                      <a:off x="0" y="0"/>
                      <a:ext cx="4381500" cy="2286000"/>
                    </a:xfrm>
                    <a:prstGeom prst="rect">
                      <a:avLst/>
                    </a:prstGeom>
                  </pic:spPr>
                </pic:pic>
              </a:graphicData>
            </a:graphic>
          </wp:inline>
        </w:drawing>
      </w:r>
      <w:bookmarkStart w:id="18" w:name="i-19"/>
      <w:bookmarkEnd w:id="18"/>
      <w:r>
        <w:rPr>
          <w:color w:val="000000"/>
        </w:rPr>
        <w:t>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the ratio of estimated insured and collateralized deposits to total deposits was 51% and the ratio of available liquidity to estimated uninsured, uncollateralized deposits was 119%. As a commercially focused bank, due to the inherent nature of commercial deposits and the fact that deposit insurance is designed primarily to protect consumers, a significant portion of our deposits are uninsured. </w:t>
      </w:r>
    </w:p>
    <w:p>
      <w:pPr>
        <w:pStyle w:val="TextBody"/>
        <w:bidi w:val="0"/>
        <w:spacing w:lineRule="auto" w:line="288" w:before="24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ALM policy establishes limits or operating risk thresholds for a number of measures of liquidity which are monitored at least monthly by the ALCO and quarterly by the Board of Directors. Some of the measures currently used to dimension liquidity risk and manage liquidity are a wholesale funding ratio, the ratio of available liquidity to uninsured/non-collateralized deposits, the ratio of available operational liquidity (which excludes availability at the FRB) to volatile liabilities, a liquidity stress test coverage ratio, the loan to deposit ratio, a one-year liquidity ratio, a measure of available on-balance sheet liquidity, and large depositor concentrations. We also have single depositor relationship limits. Our liquidity management framework incorporates a robust contingency funding plan and liquidity stress testing framework.</w:t>
      </w:r>
    </w:p>
    <w:p>
      <w:pPr>
        <w:pStyle w:val="TextBody"/>
        <w:bidi w:val="0"/>
        <w:spacing w:lineRule="auto" w:line="288" w:before="24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some of the Company's liquidity measures, where applicable, their related policy limits and operating risk thresholds at the dates indicated:</w:t>
      </w:r>
    </w:p>
    <w:tbl>
      <w:tblPr>
        <w:tblW w:w="5530" w:type="dxa"/>
        <w:jc w:val="left"/>
        <w:tblInd w:w="0" w:type="dxa"/>
        <w:tblLayout w:type="fixed"/>
        <w:tblCellMar>
          <w:top w:w="28" w:type="dxa"/>
          <w:left w:w="28" w:type="dxa"/>
          <w:bottom w:w="28" w:type="dxa"/>
          <w:right w:w="28" w:type="dxa"/>
        </w:tblCellMar>
      </w:tblPr>
      <w:tblGrid>
        <w:gridCol w:w="944"/>
        <w:gridCol w:w="831"/>
        <w:gridCol w:w="834"/>
        <w:gridCol w:w="109"/>
        <w:gridCol w:w="374"/>
        <w:gridCol w:w="374"/>
        <w:gridCol w:w="376"/>
        <w:gridCol w:w="109"/>
        <w:gridCol w:w="109"/>
        <w:gridCol w:w="109"/>
        <w:gridCol w:w="109"/>
        <w:gridCol w:w="109"/>
        <w:gridCol w:w="329"/>
        <w:gridCol w:w="329"/>
        <w:gridCol w:w="331"/>
        <w:gridCol w:w="154"/>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Policy Limit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Wholesale funding/total assets</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&lt;37.5%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2921" w:type="dxa"/>
            <w:gridSpan w:val="13"/>
            <w:tcBorders/>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2921" w:type="dxa"/>
            <w:gridSpan w:val="13"/>
            <w:tcBorders/>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2921" w:type="dxa"/>
            <w:gridSpan w:val="13"/>
            <w:tcBorders/>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2921" w:type="dxa"/>
            <w:gridSpan w:val="13"/>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403"/>
        <w:gridCol w:w="2033"/>
        <w:gridCol w:w="2046"/>
        <w:gridCol w:w="109"/>
        <w:gridCol w:w="109"/>
        <w:gridCol w:w="109"/>
        <w:gridCol w:w="109"/>
        <w:gridCol w:w="358"/>
        <w:gridCol w:w="340"/>
        <w:gridCol w:w="342"/>
        <w:gridCol w:w="109"/>
        <w:gridCol w:w="109"/>
        <w:gridCol w:w="109"/>
        <w:gridCol w:w="109"/>
        <w:gridCol w:w="109"/>
        <w:gridCol w:w="514"/>
        <w:gridCol w:w="514"/>
        <w:gridCol w:w="515"/>
        <w:gridCol w:w="159"/>
      </w:tblGrid>
      <w:tr>
        <w:trPr/>
        <w:tc>
          <w:tcPr>
            <w:tcW w:w="2403"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Operating Threshold </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 operational liquidity/volatile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2.55x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1.50x</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Liquidity stress test coverage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2.59x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1.50x</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One year liquidity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1.15x</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 to deposit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95%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Top 20 uninsured depositors to total deposits (excluding brokered &amp; municipal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15%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 on-balance sheet liquidity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 liquidity to uninsured/non-collateralized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105%</w:t>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holding company, BankUnited, Inc. is a corporation separate and apart from its banking subsidiary, and therefore, provides for its own liquidity. BankUnited, Inc.’s main sources of funds include management fees and dividends from the Bank and access to capital markets. There are regulatory limitations that may affect the ability of the Bank to pay dividends to BankUnited, Inc. Management believes that such limitations will not impact our ability to meet our ongoing cash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48285"/>
                <wp:effectExtent l="0" t="0" r="0" b="0"/>
                <wp:wrapNone/>
                <wp:docPr id="82" name="Frame6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Capital</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FDIA, the federal banking agencies have adopted regulations setting forth a five-tier system for measuring the capital adequacy of the financial institutions they supervise. At June 30, 2026 and December 31, 2025, the Company and the Bank had capital levels that exceeded both the regulatory well-capitalized guidelines and all internal capital ratio targets.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an active shelf registration statement on file with the SEC that allows the Company to periodically offer and sell in one or more offerings, individually or in any combination, our common stock, preferred stock and other non-equity securities. The shelf registration provides us with flexibility in issuing capital instruments and enables us to more readily access the capital markets as needed to pursue future growth opportunities and to ensure continued compliance with regulatory capital requirements. Our ability to issue securities pursuant to the shelf registration is subject to market conditions.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regulatory capital for the Company and the Bank as of June 30, 2026 (dollars in thousands):</w:t>
      </w:r>
    </w:p>
    <w:tbl>
      <w:tblPr>
        <w:tblW w:w="11715" w:type="dxa"/>
        <w:jc w:val="left"/>
        <w:tblInd w:w="0" w:type="dxa"/>
        <w:tblLayout w:type="fixed"/>
        <w:tblCellMar>
          <w:top w:w="28" w:type="dxa"/>
          <w:left w:w="28" w:type="dxa"/>
          <w:bottom w:w="28" w:type="dxa"/>
          <w:right w:w="28" w:type="dxa"/>
        </w:tblCellMar>
      </w:tblPr>
      <w:tblGrid>
        <w:gridCol w:w="527"/>
        <w:gridCol w:w="464"/>
        <w:gridCol w:w="465"/>
        <w:gridCol w:w="196"/>
        <w:gridCol w:w="871"/>
        <w:gridCol w:w="109"/>
        <w:gridCol w:w="109"/>
        <w:gridCol w:w="109"/>
        <w:gridCol w:w="109"/>
        <w:gridCol w:w="278"/>
        <w:gridCol w:w="278"/>
        <w:gridCol w:w="277"/>
        <w:gridCol w:w="109"/>
        <w:gridCol w:w="109"/>
        <w:gridCol w:w="109"/>
        <w:gridCol w:w="196"/>
        <w:gridCol w:w="871"/>
        <w:gridCol w:w="109"/>
        <w:gridCol w:w="109"/>
        <w:gridCol w:w="109"/>
        <w:gridCol w:w="109"/>
        <w:gridCol w:w="278"/>
        <w:gridCol w:w="278"/>
        <w:gridCol w:w="277"/>
        <w:gridCol w:w="109"/>
        <w:gridCol w:w="109"/>
        <w:gridCol w:w="109"/>
        <w:gridCol w:w="196"/>
        <w:gridCol w:w="871"/>
        <w:gridCol w:w="109"/>
        <w:gridCol w:w="109"/>
        <w:gridCol w:w="109"/>
        <w:gridCol w:w="109"/>
        <w:gridCol w:w="233"/>
        <w:gridCol w:w="233"/>
        <w:gridCol w:w="277"/>
        <w:gridCol w:w="109"/>
        <w:gridCol w:w="109"/>
        <w:gridCol w:w="109"/>
        <w:gridCol w:w="196"/>
        <w:gridCol w:w="871"/>
        <w:gridCol w:w="109"/>
        <w:gridCol w:w="109"/>
        <w:gridCol w:w="109"/>
        <w:gridCol w:w="109"/>
        <w:gridCol w:w="317"/>
        <w:gridCol w:w="239"/>
        <w:gridCol w:w="301"/>
      </w:tblGrid>
      <w:tr>
        <w:trPr/>
        <w:tc>
          <w:tcPr>
            <w:tcW w:w="52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9083" w:type="dxa"/>
            <w:gridSpan w:val="42"/>
            <w:tcBorders/>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Required to be</w:t>
              <w:br/>
              <w:t>Considered Well</w:t>
              <w:br/>
              <w:t>Capitalized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Required to be</w:t>
              <w:br/>
              <w:t>Considered</w:t>
              <w:br/>
              <w:t>Adequately</w:t>
              <w:br/>
              <w:t>Capitalized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Required to be Considered</w:t>
              <w:br/>
              <w:t>Adequately</w:t>
              <w:br/>
              <w:t>Capitalized Including Capital Conservation Buffer</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BankUnited, Inc.:</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leverage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N/A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N/A</w:t>
            </w:r>
            <w:r>
              <w:rPr>
                <w:color w:val="000000"/>
              </w:rPr>
              <w:t xml:space="preserv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N/A</w:t>
            </w:r>
            <w:r>
              <w:rPr>
                <w:color w:val="000000"/>
              </w:rPr>
              <w:t xml:space="preserv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N/A</w:t>
            </w:r>
            <w:r>
              <w:rPr>
                <w:color w:val="000000"/>
              </w:rPr>
              <w:t xml:space="preserve"> </w:t>
            </w:r>
            <w:r>
              <w:rPr>
                <w:rFonts w:ascii="Times New Roman;serif" w:hAnsi="Times New Roman;serif"/>
                <w:b w:val="false"/>
                <w:color w:val="000000"/>
                <w:sz w:val="12"/>
              </w:rPr>
              <w:t>(1)</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CET1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3,141,882 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risk-based capital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BankUnited:</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leverage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CET1 risk-based capital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risk-based capital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2,679,936 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(1)There is no Tier 1 leverage ratio component in the definition of a well-capitalized bank holding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principal component of the Company’s risk of loss arising from adverse changes in the fair value of financial instruments, or market risk, is interest rate risk, including the risk that assets and liabilities with similar re-pricing characteristics may not reprice at the same time or to the same degree. A primary objective of the Company’s asset/liability management activities is to maximize net interest income, while maintaining acceptable levels of interest rate risk. The ALCO is responsible for establishing policies to manage exposure to interest rate risk, and to ensure procedures are established to monitor compliance with these policies. The policies established by the ALCO are approved at least annually by the Board of Directors and its Risk Committee. The Board of Directors or its Risk Committee monitor compliance with these policies at least quarterly.</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simulation of net interest income in different interest rate environments provides the most meaningful measure of interest rate risk. Income simulation analysis is designed to capture not only the potential of all assets and liabilities to mature or reprice, but also the probability that they will do so. Income simulation also attends to the relative interest rate sensitivities of these items, and projects their behavior over an extended period of time. Finally, income simulation permits management to assess the probable effects on the balance sheet not only of changes in interest rates, but also of proposed strategies for responding to them. Simulation of changes in EVE in various interest rate environments is also a meaningful measure of interest rate risk.</w:t>
      </w:r>
    </w:p>
    <w:p>
      <w:pPr>
        <w:pStyle w:val="TextBody"/>
        <w:bidi w:val="0"/>
        <w:spacing w:lineRule="auto" w:line="288" w:before="16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Net Interest Income Simulation</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income simulation model analyzes interest rate sensitivity by projecting net interest income over 12- and 24-month periods in a most likely rate scenario based on a consensus forward curve versus net interest income in alternative rate scenarios. Management continually reviews and refines its interest rate risk management processes in response to changes in the interest rate environment, the economic climate and observed customer behavior. Currently, our interest rate risk management framework is based on modeling instantaneous rate shocks to a static balance sheet, assuming that maturing instruments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48285"/>
                <wp:effectExtent l="0" t="0" r="0" b="0"/>
                <wp:wrapNone/>
                <wp:docPr id="83" name="Frame6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160" w:after="160"/>
        <w:ind w:left="0" w:right="0" w:firstLine="36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replaced with like instruments at forward rates, of plus and minus 100, 200, 300 and 400 basis point parallel shifts. In lower interest rate environments, we may not model more extreme declining rate scenarios and in certain macro-environments, we may model shocks of more than 400 basis points. Our ALM policy has established limits for the plus and minus 100 and 200 basis points shock scenarios. We also model a variety of dynamic balance sheet scenarios, various yield curve slopes, non-parallel shifts and alternative depositor behavior, beta and decay assumptions. We continually evaluate the scenarios being modeled with a view toward adapting them to changing economic conditions, expectations and trends.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impact on forecasted net interest income compared to a "most likely" scenario, based on the consensus forward curve, in static balance sheet, parallel rate shock scenarios of plus and minus 100 and 200 basis points at the dates indicated:</w:t>
      </w:r>
    </w:p>
    <w:tbl>
      <w:tblPr>
        <w:tblW w:w="10130" w:type="dxa"/>
        <w:jc w:val="left"/>
        <w:tblInd w:w="0" w:type="dxa"/>
        <w:tblLayout w:type="fixed"/>
        <w:tblCellMar>
          <w:top w:w="28" w:type="dxa"/>
          <w:left w:w="28" w:type="dxa"/>
          <w:bottom w:w="28" w:type="dxa"/>
          <w:right w:w="28" w:type="dxa"/>
        </w:tblCellMar>
      </w:tblPr>
      <w:tblGrid>
        <w:gridCol w:w="1735"/>
        <w:gridCol w:w="1517"/>
        <w:gridCol w:w="1532"/>
        <w:gridCol w:w="109"/>
        <w:gridCol w:w="109"/>
        <w:gridCol w:w="303"/>
        <w:gridCol w:w="282"/>
        <w:gridCol w:w="466"/>
        <w:gridCol w:w="109"/>
        <w:gridCol w:w="109"/>
        <w:gridCol w:w="109"/>
        <w:gridCol w:w="256"/>
        <w:gridCol w:w="224"/>
        <w:gridCol w:w="466"/>
        <w:gridCol w:w="109"/>
        <w:gridCol w:w="109"/>
        <w:gridCol w:w="109"/>
        <w:gridCol w:w="249"/>
        <w:gridCol w:w="186"/>
        <w:gridCol w:w="399"/>
        <w:gridCol w:w="109"/>
        <w:gridCol w:w="109"/>
        <w:gridCol w:w="109"/>
        <w:gridCol w:w="218"/>
        <w:gridCol w:w="218"/>
        <w:gridCol w:w="399"/>
        <w:gridCol w:w="109"/>
        <w:gridCol w:w="109"/>
        <w:gridCol w:w="109"/>
        <w:gridCol w:w="154"/>
      </w:tblGrid>
      <w:tr>
        <w:trPr/>
        <w:tc>
          <w:tcPr>
            <w:tcW w:w="1735"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Down 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Down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Plus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Plus 200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Policy Limits: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year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year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Model Results at June 30, 2026 - 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year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year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Model Results at December 31, 2025 - 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year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year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EVE Simulation</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the modeled change in EVE in the indicated scenarios at the dates indicated:</w:t>
      </w:r>
    </w:p>
    <w:tbl>
      <w:tblPr>
        <w:tblW w:w="10205" w:type="dxa"/>
        <w:jc w:val="center"/>
        <w:tblInd w:w="0" w:type="dxa"/>
        <w:tblLayout w:type="fixed"/>
        <w:tblCellMar>
          <w:top w:w="28" w:type="dxa"/>
          <w:left w:w="28" w:type="dxa"/>
          <w:bottom w:w="28" w:type="dxa"/>
          <w:right w:w="28" w:type="dxa"/>
        </w:tblCellMar>
      </w:tblPr>
      <w:tblGrid>
        <w:gridCol w:w="1670"/>
        <w:gridCol w:w="1421"/>
        <w:gridCol w:w="1434"/>
        <w:gridCol w:w="109"/>
        <w:gridCol w:w="109"/>
        <w:gridCol w:w="290"/>
        <w:gridCol w:w="290"/>
        <w:gridCol w:w="450"/>
        <w:gridCol w:w="109"/>
        <w:gridCol w:w="109"/>
        <w:gridCol w:w="109"/>
        <w:gridCol w:w="290"/>
        <w:gridCol w:w="290"/>
        <w:gridCol w:w="450"/>
        <w:gridCol w:w="109"/>
        <w:gridCol w:w="109"/>
        <w:gridCol w:w="109"/>
        <w:gridCol w:w="290"/>
        <w:gridCol w:w="290"/>
        <w:gridCol w:w="387"/>
        <w:gridCol w:w="109"/>
        <w:gridCol w:w="109"/>
        <w:gridCol w:w="109"/>
        <w:gridCol w:w="290"/>
        <w:gridCol w:w="290"/>
        <w:gridCol w:w="387"/>
        <w:gridCol w:w="109"/>
        <w:gridCol w:w="109"/>
        <w:gridCol w:w="109"/>
        <w:gridCol w:w="160"/>
      </w:tblGrid>
      <w:tr>
        <w:trPr/>
        <w:tc>
          <w:tcPr>
            <w:tcW w:w="167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Down 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Down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Plus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Plus 200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Policy Limits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Model Results at June 30, 2026 - 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Model Results at December 31, 2025 - 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modeled results at June 30, 2026 are within ALM policy limits.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uses many assumptions in estimating the impact of changes in interest rates on forecasted net interest income and EVE. Actual results may not be similar to the Company's projections due to many factors including but not limited to the timing and frequency of market rate changes, market conditions, unanticipated changes in depositor behavior and loan prepayment speeds, the shape of the yield curve, changes in balance sheet composition and the Company's actions in response to changing external and balance sheet dynamics. Some of the more significant assumptions used by the Company in estimating the impact of changes in interest rates on forecasted net interest income and EVE at June 30, 2026 were:</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Prepayment speeds for loans, with CPRs ranging from 7.31% to 15.80% depending on loan characteristics and the magnitude of the modeled rate shock;</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Prepayment speeds for investment securities, with CPRs ranging from 3.67% to 11.88% depending on individual security collateral and characteristics and the magnitude of the modeled rate shock;</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Deposit decay rates ranging between 9.62% and 13.4%, depending on the magnitude of the modeled rate shock; and</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Overall non-maturity interest bearing deposit beta of 80%.</w:t>
      </w:r>
    </w:p>
    <w:p>
      <w:pPr>
        <w:pStyle w:val="TextBody"/>
        <w:bidi w:val="0"/>
        <w:spacing w:lineRule="auto" w:line="288" w:before="240" w:after="160"/>
        <w:jc w:val="left"/>
        <w:rPr>
          <w:rFonts w:ascii="Times New Roman;serif" w:hAnsi="Times New Roman;serif"/>
          <w:b/>
          <w:i/>
          <w:color w:val="000000"/>
          <w:sz w:val="20"/>
        </w:rPr>
      </w:pPr>
      <w:r>
        <w:rPr>
          <w:rFonts w:ascii="Times New Roman;serif" w:hAnsi="Times New Roman;serif"/>
          <w:b/>
          <w:i/>
          <w:color w:val="000000"/>
          <w:sz w:val="20"/>
        </w:rPr>
        <w:t>Derivative Financial Instruments and Hedging Activities</w:t>
      </w:r>
    </w:p>
    <w:p>
      <w:pPr>
        <w:pStyle w:val="TextBody"/>
        <w:bidi w:val="0"/>
        <w:spacing w:lineRule="auto" w:line="288" w:before="24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continually evaluates a variety of hedging strategies that are available to manage interest rate risk.</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Interest rate derivatives designated as cash flow or fair value hedging instruments are tools we may use to manage interest rate risk. These derivative instruments are used to mitigate exposure to changes in interest cash flows or the fair value of financial instruments caused by fluctuations in benchmark interest rates, as well as to manage duration of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48285"/>
                <wp:effectExtent l="0" t="0" r="0" b="0"/>
                <wp:wrapNone/>
                <wp:docPr id="84" name="Frame6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the Company's derivatives designated as cash flow hedges as of June 30, 2026 (dollars in thousands):</w:t>
      </w:r>
    </w:p>
    <w:tbl>
      <w:tblPr>
        <w:tblW w:w="10205" w:type="dxa"/>
        <w:jc w:val="left"/>
        <w:tblInd w:w="0" w:type="dxa"/>
        <w:tblLayout w:type="fixed"/>
        <w:tblCellMar>
          <w:top w:w="28" w:type="dxa"/>
          <w:left w:w="28" w:type="dxa"/>
          <w:bottom w:w="28" w:type="dxa"/>
          <w:right w:w="28" w:type="dxa"/>
        </w:tblCellMar>
      </w:tblPr>
      <w:tblGrid>
        <w:gridCol w:w="722"/>
        <w:gridCol w:w="517"/>
        <w:gridCol w:w="521"/>
        <w:gridCol w:w="683"/>
        <w:gridCol w:w="683"/>
        <w:gridCol w:w="686"/>
        <w:gridCol w:w="109"/>
        <w:gridCol w:w="109"/>
        <w:gridCol w:w="109"/>
        <w:gridCol w:w="205"/>
        <w:gridCol w:w="914"/>
        <w:gridCol w:w="114"/>
        <w:gridCol w:w="109"/>
        <w:gridCol w:w="109"/>
        <w:gridCol w:w="109"/>
        <w:gridCol w:w="434"/>
        <w:gridCol w:w="434"/>
        <w:gridCol w:w="436"/>
        <w:gridCol w:w="109"/>
        <w:gridCol w:w="109"/>
        <w:gridCol w:w="109"/>
        <w:gridCol w:w="521"/>
        <w:gridCol w:w="521"/>
        <w:gridCol w:w="522"/>
        <w:gridCol w:w="109"/>
        <w:gridCol w:w="109"/>
        <w:gridCol w:w="109"/>
        <w:gridCol w:w="285"/>
        <w:gridCol w:w="285"/>
        <w:gridCol w:w="414"/>
      </w:tblGrid>
      <w:tr>
        <w:trPr/>
        <w:tc>
          <w:tcPr>
            <w:tcW w:w="72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Pay Rate / Strike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Receive Rate / Strike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Life in Years</w:t>
            </w:r>
          </w:p>
        </w:tc>
      </w:tr>
      <w:tr>
        <w:trPr/>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Hedged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2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Pay-fixed interest rate swaps</w:t>
            </w:r>
          </w:p>
        </w:tc>
        <w:tc>
          <w:tcPr>
            <w:tcW w:w="2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Variability of interest cash flows on variable rate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455,000 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Daily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2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Pay-variable interest rate swaps</w:t>
            </w:r>
          </w:p>
        </w:tc>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Variability of interest cash flows on variable rate loans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Term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w:t>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Forward starting pay-variable interest rate swaps</w:t>
            </w:r>
          </w:p>
        </w:tc>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Variability of interest cash flows on variable rate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Term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2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Interest rate collar, indexed to 1-month SOFR</w:t>
            </w:r>
          </w:p>
        </w:tc>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Variability of interest cash flows on variable rate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w:t>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2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2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3,630,000 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4"/>
        <w:gridCol w:w="502"/>
        <w:gridCol w:w="504"/>
        <w:gridCol w:w="360"/>
        <w:gridCol w:w="1602"/>
        <w:gridCol w:w="200"/>
        <w:gridCol w:w="200"/>
        <w:gridCol w:w="200"/>
        <w:gridCol w:w="200"/>
        <w:gridCol w:w="364"/>
        <w:gridCol w:w="363"/>
        <w:gridCol w:w="632"/>
        <w:gridCol w:w="109"/>
        <w:gridCol w:w="109"/>
        <w:gridCol w:w="109"/>
        <w:gridCol w:w="391"/>
        <w:gridCol w:w="1468"/>
        <w:gridCol w:w="217"/>
        <w:gridCol w:w="217"/>
        <w:gridCol w:w="217"/>
        <w:gridCol w:w="217"/>
        <w:gridCol w:w="362"/>
        <w:gridCol w:w="332"/>
        <w:gridCol w:w="716"/>
      </w:tblGrid>
      <w:tr>
        <w:trPr/>
        <w:tc>
          <w:tcPr>
            <w:tcW w:w="61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Variability of Interest Payment Cash Flows on Variable Rate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Variability of Interest Payment Cash Flows on Variable Rate Liabilities</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Notional Amount</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 Average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Rate</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hedges maturing in:</w:t>
            </w:r>
          </w:p>
        </w:tc>
        <w:tc>
          <w:tcPr>
            <w:tcW w:w="2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Third quarter 2026</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230,000 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Fourth quarter 2026</w:t>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3,175,000 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455,000 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short duration of our AFS investment portfolio (2.02 at June 30, 2026) also provides a natural offset from an interest rate risk perspective to the longer duration of the residential mortgage portfolio.</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Note 6 to the consolidated financial statements for additional information about derivative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Tangible book value per common share is a non-GAAP financial measure. Management believes this measure is relevant to understanding the capital position and performance of the Company. Disclosure of this non-GAAP financial measure also provides a meaningful basis for comparison to other financial institutions as it is a metric commonly used in the banking industry. </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PPNR is a non-GAAP financial measure. Management believes this measure is relevant to understanding the performance of the Company attributable to elements other than the provision for credit losses and the ability of the Company to generate earnings sufficient to cover estimated credit losses. This measure also provides a meaningful basis for comparison to other financial institutions since it is commonly employed and is a measure frequently cited by investors and analysts.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reconcile these non-GAAP financial measurements to the comparable GAAP financial measurements at the dates and for the periods indicated (in thousands except share and per share data): </w:t>
      </w:r>
    </w:p>
    <w:tbl>
      <w:tblPr>
        <w:tblW w:w="9841" w:type="dxa"/>
        <w:jc w:val="left"/>
        <w:tblInd w:w="0" w:type="dxa"/>
        <w:tblLayout w:type="fixed"/>
        <w:tblCellMar>
          <w:top w:w="28" w:type="dxa"/>
          <w:left w:w="28" w:type="dxa"/>
          <w:bottom w:w="28" w:type="dxa"/>
          <w:right w:w="28" w:type="dxa"/>
        </w:tblCellMar>
      </w:tblPr>
      <w:tblGrid>
        <w:gridCol w:w="1275"/>
        <w:gridCol w:w="1122"/>
        <w:gridCol w:w="1127"/>
        <w:gridCol w:w="211"/>
        <w:gridCol w:w="976"/>
        <w:gridCol w:w="109"/>
        <w:gridCol w:w="109"/>
        <w:gridCol w:w="109"/>
        <w:gridCol w:w="109"/>
        <w:gridCol w:w="211"/>
        <w:gridCol w:w="976"/>
        <w:gridCol w:w="109"/>
        <w:gridCol w:w="109"/>
        <w:gridCol w:w="109"/>
        <w:gridCol w:w="109"/>
        <w:gridCol w:w="244"/>
        <w:gridCol w:w="1130"/>
        <w:gridCol w:w="126"/>
        <w:gridCol w:w="109"/>
        <w:gridCol w:w="109"/>
        <w:gridCol w:w="109"/>
        <w:gridCol w:w="109"/>
        <w:gridCol w:w="109"/>
        <w:gridCol w:w="109"/>
        <w:gridCol w:w="109"/>
        <w:gridCol w:w="109"/>
        <w:gridCol w:w="109"/>
        <w:gridCol w:w="109"/>
        <w:gridCol w:w="109"/>
        <w:gridCol w:w="109"/>
        <w:gridCol w:w="109"/>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3,053,829 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goodwill and other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stockholders’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2,976,192 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and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72,276,530 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73,354,206 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74,138,066 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book value per common share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40.14 </w:t>
            </w:r>
          </w:p>
        </w:tc>
        <w:tc>
          <w:tcPr>
            <w:tcW w:w="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48285"/>
                <wp:effectExtent l="0" t="0" r="0" b="0"/>
                <wp:wrapNone/>
                <wp:docPr id="85" name="Frame6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160" w:after="160"/>
        <w:ind w:left="0" w:right="0" w:firstLine="360"/>
        <w:jc w:val="left"/>
        <w:rPr/>
      </w:pPr>
      <w:r>
        <w:rPr/>
      </w:r>
    </w:p>
    <w:tbl>
      <w:tblPr>
        <w:tblW w:w="9580" w:type="dxa"/>
        <w:jc w:val="left"/>
        <w:tblInd w:w="0" w:type="dxa"/>
        <w:tblLayout w:type="fixed"/>
        <w:tblCellMar>
          <w:top w:w="28" w:type="dxa"/>
          <w:left w:w="28" w:type="dxa"/>
          <w:bottom w:w="28" w:type="dxa"/>
          <w:right w:w="28" w:type="dxa"/>
        </w:tblCellMar>
      </w:tblPr>
      <w:tblGrid>
        <w:gridCol w:w="863"/>
        <w:gridCol w:w="757"/>
        <w:gridCol w:w="764"/>
        <w:gridCol w:w="211"/>
        <w:gridCol w:w="826"/>
        <w:gridCol w:w="109"/>
        <w:gridCol w:w="109"/>
        <w:gridCol w:w="109"/>
        <w:gridCol w:w="109"/>
        <w:gridCol w:w="232"/>
        <w:gridCol w:w="908"/>
        <w:gridCol w:w="11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81,738 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PPNR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106,324 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48285"/>
                <wp:effectExtent l="0" t="0" r="0" b="0"/>
                <wp:wrapNone/>
                <wp:docPr id="86" name="Frame6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160" w:after="160"/>
        <w:ind w:left="0" w:right="0" w:firstLine="360"/>
        <w:jc w:val="left"/>
        <w:rPr/>
      </w:pPr>
      <w:r>
        <w:rPr/>
      </w: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the section entitled “Interest Rate Risk” included in 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160"/>
        <w:ind w:left="0" w:right="0" w:firstLine="36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Form 10-Q, we carried out an evaluation under the supervision and with the participation of our management, including the Chief Executive Officer and Chief Financial Officer, of the effectiveness of the design and operation of our disclosure controls and procedures as defined in Exchange Act Rules 13a-15(e) and 15d-15(e). Based upon that evaluation, the Chief Executive Officer and the Chief Financial Officer concluded that our disclosure controls and procedures were effective.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there were no changes in the Company's internal control over financial reporting that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60" w:after="160"/>
        <w:ind w:left="0" w:right="0" w:firstLine="360"/>
        <w:jc w:val="left"/>
        <w:rPr>
          <w:color w:val="000000"/>
        </w:rPr>
      </w:pPr>
      <w:r>
        <w:rPr>
          <w:color w:val="000000"/>
        </w:rPr>
        <w:t> </w:t>
      </w:r>
      <w:r>
        <w:rPr>
          <w:rFonts w:ascii="Times New Roman;serif" w:hAnsi="Times New Roman;serif"/>
          <w:b w:val="false"/>
          <w:color w:val="000000"/>
          <w:sz w:val="20"/>
        </w:rPr>
        <w:t>The Company is involved as plaintiff or defendant in various legal actions arising in the normal course of business. In the opinion of management, based upon currently available information and the advice of legal counsel, the likelihood is remote that any adverse impact of these proceedings, either individually or in the aggregate, would be material to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risk factors disclosed by the Company in its 2025 Annual Report on Form 10-K filed with the Securities and Exchange Commission on 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6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equity securities sales during the quarter ended June 30, 2026 that were not registered. The table below includes certain information regarding the Company's purchase of its common shares during the quarter ended June 30, 2026. </w:t>
      </w:r>
    </w:p>
    <w:tbl>
      <w:tblPr>
        <w:tblW w:w="10205" w:type="dxa"/>
        <w:jc w:val="left"/>
        <w:tblInd w:w="0" w:type="dxa"/>
        <w:tblLayout w:type="fixed"/>
        <w:tblCellMar>
          <w:top w:w="28" w:type="dxa"/>
          <w:left w:w="28" w:type="dxa"/>
          <w:bottom w:w="28" w:type="dxa"/>
          <w:right w:w="28" w:type="dxa"/>
        </w:tblCellMar>
      </w:tblPr>
      <w:tblGrid>
        <w:gridCol w:w="332"/>
        <w:gridCol w:w="292"/>
        <w:gridCol w:w="296"/>
        <w:gridCol w:w="109"/>
        <w:gridCol w:w="109"/>
        <w:gridCol w:w="109"/>
        <w:gridCol w:w="727"/>
        <w:gridCol w:w="411"/>
        <w:gridCol w:w="412"/>
        <w:gridCol w:w="109"/>
        <w:gridCol w:w="109"/>
        <w:gridCol w:w="109"/>
        <w:gridCol w:w="268"/>
        <w:gridCol w:w="783"/>
        <w:gridCol w:w="138"/>
        <w:gridCol w:w="109"/>
        <w:gridCol w:w="109"/>
        <w:gridCol w:w="109"/>
        <w:gridCol w:w="953"/>
        <w:gridCol w:w="645"/>
        <w:gridCol w:w="647"/>
        <w:gridCol w:w="109"/>
        <w:gridCol w:w="109"/>
        <w:gridCol w:w="109"/>
        <w:gridCol w:w="406"/>
        <w:gridCol w:w="2283"/>
        <w:gridCol w:w="304"/>
      </w:tblGrid>
      <w:tr>
        <w:trPr/>
        <w:tc>
          <w:tcPr>
            <w:tcW w:w="3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Issuer Purchases of Equity Securities</w:t>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Maximum number (or approximate dollar value) of shares that may yet be purchased under the plans or programs</w:t>
            </w:r>
            <w:r>
              <w:rPr>
                <w:rFonts w:ascii="Times New Roman;serif" w:hAnsi="Times New Roman;serif"/>
                <w:b/>
                <w:color w:val="000000"/>
                <w:sz w:val="10"/>
              </w:rPr>
              <w:t>(2)(3)</w:t>
            </w:r>
          </w:p>
        </w:tc>
      </w:tr>
      <w:tr>
        <w:trPr/>
        <w:tc>
          <w:tcPr>
            <w:tcW w:w="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668,854 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668,854 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164,865,754 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154,599 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154,599 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157,778,245 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250,203 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250,203 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145,796,548 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1,073,656 </w:t>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1,073,656 </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The total number of shares purchased during the periods indicated includes shares purchased as part of a publicly announced program.</w:t>
      </w:r>
    </w:p>
    <w:p>
      <w:pPr>
        <w:pStyle w:val="TextBody"/>
        <w:bidi w:val="0"/>
        <w:spacing w:lineRule="auto" w:line="288" w:before="60" w:after="1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On July 22, 2025, the Company's Board of Directors authorized the repurchase of up to $100 million in shares of its outstanding common stock. No time limit was set for the completion of the share repurchase program, and the program may be suspended or discontinued without prior notice at any time. The authorization does not require the Company to acquire any specified number of common shares. As of June 30, 2026, the Company had fully utilized the repurchase authority under this authorization and no amount remained for future repurchases.</w:t>
      </w:r>
    </w:p>
    <w:p>
      <w:pPr>
        <w:pStyle w:val="TextBody"/>
        <w:bidi w:val="0"/>
        <w:spacing w:lineRule="auto" w:line="288" w:before="60" w:after="1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 On January 20, 2026, the Company's Board of Directors authorized the repurchase of up to $200 million in shares of its outstanding common stock in addition to shares remaining available for purchase under the repurchase program approved on July 22, 2025. No time limit was set for the completion of the share repurchase program and the program may be suspended or discontinued without prior notice at any time. The authorization does not require the Company to acquire any specified number of common shares.</w:t>
      </w:r>
    </w:p>
    <w:p>
      <w:pPr>
        <w:pStyle w:val="TextBody"/>
        <w:bidi w:val="0"/>
        <w:spacing w:before="160" w:after="16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48285"/>
                <wp:effectExtent l="0" t="0" r="0" b="0"/>
                <wp:wrapNone/>
                <wp:docPr id="87" name="Frame6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20" w:after="16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(as defined in Exchange Act Rule 16a-1(f)) of the Company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48285"/>
                <wp:effectExtent l="0" t="0" r="0" b="0"/>
                <wp:wrapNone/>
                <wp:docPr id="88" name="Frame6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80"/>
        <w:gridCol w:w="247"/>
        <w:gridCol w:w="248"/>
        <w:gridCol w:w="109"/>
        <w:gridCol w:w="109"/>
        <w:gridCol w:w="109"/>
        <w:gridCol w:w="2050"/>
        <w:gridCol w:w="1912"/>
        <w:gridCol w:w="1932"/>
        <w:gridCol w:w="109"/>
        <w:gridCol w:w="109"/>
        <w:gridCol w:w="109"/>
        <w:gridCol w:w="867"/>
        <w:gridCol w:w="832"/>
        <w:gridCol w:w="1183"/>
      </w:tblGrid>
      <w:tr>
        <w:trPr/>
        <w:tc>
          <w:tcPr>
            <w:tcW w:w="2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r>
      <w:tr>
        <w:trPr/>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Amended and Restated BankUnited, Inc. 2023 Omnibus Equity Incentive Plan</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 to the Current Report on Form 8-K filed May 21, 2026</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Amended and Restated Retention Letter, dated July 22, 2025, as amended on May 11, 2026 by and between BankUnited, Inc. and James Mackey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 to the Current Report on Form 8-K filed May 12, 2026</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30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30ex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30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30e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30e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30e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30ex322.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30e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ind w:left="0" w:right="0" w:firstLine="360"/>
        <w:jc w:val="left"/>
        <w:rPr/>
      </w:pPr>
      <w:r>
        <w:rPr/>
      </w:r>
    </w:p>
    <w:p>
      <w:pPr>
        <w:pStyle w:val="TextBody"/>
        <w:bidi w:val="0"/>
        <w:spacing w:lineRule="auto" w:line="288" w:before="160" w:after="160"/>
        <w:ind w:left="0" w:right="0" w:firstLine="36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6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this 6th day of August 2026.</w:t>
      </w:r>
    </w:p>
    <w:tbl>
      <w:tblPr>
        <w:tblW w:w="4437" w:type="dxa"/>
        <w:jc w:val="center"/>
        <w:tblInd w:w="0" w:type="dxa"/>
        <w:tblLayout w:type="fixed"/>
        <w:tblCellMar>
          <w:top w:w="28" w:type="dxa"/>
          <w:left w:w="28" w:type="dxa"/>
          <w:bottom w:w="28" w:type="dxa"/>
          <w:right w:w="28" w:type="dxa"/>
        </w:tblCellMar>
      </w:tblPr>
      <w:tblGrid>
        <w:gridCol w:w="124"/>
        <w:gridCol w:w="109"/>
        <w:gridCol w:w="109"/>
        <w:gridCol w:w="1194"/>
        <w:gridCol w:w="1194"/>
        <w:gridCol w:w="17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Rajinder P. Singh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Rajinder P. Singh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James G. Mackey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James G. Mackey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48285"/>
                <wp:effectExtent l="0" t="0" r="0" b="0"/>
                <wp:wrapNone/>
                <wp:docPr id="90" name="Frame7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Rajinder P. Singh,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BankUnited, Inc.;</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3.</w:t>
      </w:r>
      <w:r>
        <w:rPr>
          <w:color w:val="000000"/>
        </w:rPr>
        <w:t>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4.</w:t>
      </w:r>
      <w:r>
        <w:rPr>
          <w:color w:val="000000"/>
        </w:rPr>
        <w:t>     </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5.</w:t>
      </w:r>
      <w:r>
        <w:rPr>
          <w:color w:val="000000"/>
        </w:rPr>
        <w:t>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tbl>
      <w:tblPr>
        <w:tblW w:w="4632" w:type="dxa"/>
        <w:jc w:val="left"/>
        <w:tblInd w:w="0" w:type="dxa"/>
        <w:tblLayout w:type="fixed"/>
        <w:tblCellMar>
          <w:top w:w="28" w:type="dxa"/>
          <w:left w:w="28" w:type="dxa"/>
          <w:bottom w:w="28" w:type="dxa"/>
          <w:right w:w="28" w:type="dxa"/>
        </w:tblCellMar>
      </w:tblPr>
      <w:tblGrid>
        <w:gridCol w:w="1538"/>
        <w:gridCol w:w="1354"/>
        <w:gridCol w:w="1368"/>
        <w:gridCol w:w="109"/>
        <w:gridCol w:w="109"/>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Rajinder P. Singh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Rajinder P. Singh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Chairman,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 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James G. Mackey,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BankUnited, Inc.;</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3.</w:t>
      </w:r>
      <w:r>
        <w:rPr>
          <w:color w:val="000000"/>
        </w:rPr>
        <w:t>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4.</w:t>
      </w:r>
      <w:r>
        <w:rPr>
          <w:color w:val="000000"/>
        </w:rPr>
        <w:t>     </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5.</w:t>
      </w:r>
      <w:r>
        <w:rPr>
          <w:color w:val="000000"/>
        </w:rPr>
        <w:t>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tbl>
      <w:tblPr>
        <w:tblW w:w="2441" w:type="dxa"/>
        <w:jc w:val="left"/>
        <w:tblInd w:w="0" w:type="dxa"/>
        <w:tblLayout w:type="fixed"/>
        <w:tblCellMar>
          <w:top w:w="28" w:type="dxa"/>
          <w:left w:w="28" w:type="dxa"/>
          <w:bottom w:w="28" w:type="dxa"/>
          <w:right w:w="28" w:type="dxa"/>
        </w:tblCellMar>
      </w:tblPr>
      <w:tblGrid>
        <w:gridCol w:w="750"/>
        <w:gridCol w:w="657"/>
        <w:gridCol w:w="662"/>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James G. Mackey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James G. Mackey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 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BankUnited, Inc. (the “Company”) on Form 10-Q for the quarter ended June 30, 2026, as filed with the Securities and Exchange Commission on the date hereof (the “Report”), I, Rajinder P. Singh, as Chief Executive Officer of the Company, certify, to the best of my knowledge, pursuant to 18 U.S.C. §1350, as adopted pursuant to Section 906 of the Sarbanes-Oxley Act of 2002, that: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as applicable, of the Securities Exchange Act of 1934;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ind w:left="0" w:right="0" w:firstLine="360"/>
        <w:jc w:val="left"/>
        <w:rPr>
          <w:color w:val="000000"/>
        </w:rPr>
      </w:pPr>
      <w:r>
        <w:rPr>
          <w:color w:val="000000"/>
        </w:rPr>
        <w:t> </w:t>
      </w:r>
    </w:p>
    <w:tbl>
      <w:tblPr>
        <w:tblW w:w="4632" w:type="dxa"/>
        <w:jc w:val="left"/>
        <w:tblInd w:w="0" w:type="dxa"/>
        <w:tblLayout w:type="fixed"/>
        <w:tblCellMar>
          <w:top w:w="28" w:type="dxa"/>
          <w:left w:w="28" w:type="dxa"/>
          <w:bottom w:w="28" w:type="dxa"/>
          <w:right w:w="28" w:type="dxa"/>
        </w:tblCellMar>
      </w:tblPr>
      <w:tblGrid>
        <w:gridCol w:w="1538"/>
        <w:gridCol w:w="1354"/>
        <w:gridCol w:w="1368"/>
        <w:gridCol w:w="109"/>
        <w:gridCol w:w="109"/>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Rajinder P. Singh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Rajinder P. Singh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Chairman,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left"/>
        <w:rPr/>
      </w:pPr>
      <w:r>
        <w:rPr>
          <w:rFonts w:ascii="Times New Roman;serif" w:hAnsi="Times New Roman;serif"/>
          <w:b/>
          <w:color w:val="000000"/>
          <w:sz w:val="20"/>
        </w:rPr>
        <w:t>Date: August 6, 2026</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BankUnited, Inc. (the “Company”) on Form 10-Q for the quarter ended June 30, 2026, as filed with the Securities and Exchange Commission on the date hereof (the “Report”), I, James G. Mackey, as Chief Financial Officer of the Company, certify, to the best of my knowledge, pursuant to 18 U.S.C. §1350, as adopted pursuant to Section 906 of the Sarbanes-Oxley Act of 2002, that: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as applicable, of the Securities Exchange Act of 1934;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ind w:left="0" w:right="0" w:firstLine="360"/>
        <w:jc w:val="left"/>
        <w:rPr>
          <w:color w:val="000000"/>
        </w:rPr>
      </w:pPr>
      <w:r>
        <w:rPr>
          <w:color w:val="000000"/>
        </w:rPr>
        <w:t> </w:t>
      </w:r>
    </w:p>
    <w:tbl>
      <w:tblPr>
        <w:tblW w:w="2441" w:type="dxa"/>
        <w:jc w:val="left"/>
        <w:tblInd w:w="0" w:type="dxa"/>
        <w:tblLayout w:type="fixed"/>
        <w:tblCellMar>
          <w:top w:w="28" w:type="dxa"/>
          <w:left w:w="28" w:type="dxa"/>
          <w:bottom w:w="28" w:type="dxa"/>
          <w:right w:w="28" w:type="dxa"/>
        </w:tblCellMar>
      </w:tblPr>
      <w:tblGrid>
        <w:gridCol w:w="750"/>
        <w:gridCol w:w="657"/>
        <w:gridCol w:w="662"/>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James G. Mackey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James G. Mackey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color w:val="000000"/>
          <w:sz w:val="20"/>
        </w:rPr>
        <w:t xml:space="preserve">Date: August 6, 2026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hyperlink" Target="https://www.sec.gov/Archives/edgar/data/1504008/000150400826000049/exhibit101-bankunitedincam.htm" TargetMode="External"/><Relationship Id="rId22" Type="http://schemas.openxmlformats.org/officeDocument/2006/relationships/hyperlink" Target="https://www.sec.gov/Archives/edgar/data/1504008/000150400826000049/exhibit101-bankunitedincam.htm" TargetMode="External"/><Relationship Id="rId23" Type="http://schemas.openxmlformats.org/officeDocument/2006/relationships/hyperlink" Target="https://www.sec.gov/Archives/edgar/data/1504008/000162828026033753/exhibit101retentionletter.htm" TargetMode="External"/><Relationship Id="rId24" Type="http://schemas.openxmlformats.org/officeDocument/2006/relationships/hyperlink" Target="https://www.sec.gov/Archives/edgar/data/1504008/000162828026033753/exhibit101retentionletter.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29349</Words>
  <Characters>161950</Characters>
  <CharactersWithSpaces>187509</CharactersWithSpaces>
  <Paragraphs>7665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